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3ECCC">
      <w:pPr>
        <w:pStyle w:val="4"/>
        <w:jc w:val="center"/>
        <w:outlineLvl w:val="1"/>
      </w:pPr>
      <w:r>
        <w:rPr>
          <w:b/>
          <w:sz w:val="36"/>
        </w:rPr>
        <w:t>第三章 技术、服务及其他要求</w:t>
      </w:r>
    </w:p>
    <w:p w14:paraId="554C33CE">
      <w:pPr>
        <w:pStyle w:val="4"/>
        <w:ind w:firstLine="480"/>
        <w:jc w:val="left"/>
      </w:pPr>
      <w:r>
        <w:t>（注:本章的技术、服务及其他要求中，带“★”的要求为实质性要求。采购人、代理机构应当根据项目实际要求合理设定，并在第四章符合性审查中明确响应要求。）</w:t>
      </w:r>
    </w:p>
    <w:p w14:paraId="3DF70C4D">
      <w:pPr>
        <w:pStyle w:val="4"/>
        <w:jc w:val="left"/>
        <w:outlineLvl w:val="2"/>
      </w:pPr>
      <w:r>
        <w:rPr>
          <w:b/>
          <w:sz w:val="28"/>
        </w:rPr>
        <w:t>3.1.采购内容</w:t>
      </w:r>
    </w:p>
    <w:p w14:paraId="0544B947">
      <w:pPr>
        <w:pStyle w:val="4"/>
        <w:jc w:val="left"/>
      </w:pPr>
      <w:r>
        <w:t>采购包1：</w:t>
      </w:r>
    </w:p>
    <w:p w14:paraId="5D1B0705">
      <w:pPr>
        <w:pStyle w:val="4"/>
        <w:jc w:val="left"/>
      </w:pPr>
      <w:r>
        <w:t>采购包预算金额（元）: 352,000.00</w:t>
      </w:r>
    </w:p>
    <w:p w14:paraId="329D5BC5">
      <w:pPr>
        <w:pStyle w:val="4"/>
        <w:jc w:val="left"/>
      </w:pPr>
      <w:r>
        <w:t>采购包最高限价（元）: 352,000.00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809"/>
        <w:gridCol w:w="809"/>
        <w:gridCol w:w="821"/>
        <w:gridCol w:w="1128"/>
        <w:gridCol w:w="809"/>
        <w:gridCol w:w="809"/>
        <w:gridCol w:w="809"/>
        <w:gridCol w:w="809"/>
        <w:gridCol w:w="632"/>
        <w:gridCol w:w="632"/>
      </w:tblGrid>
      <w:tr w14:paraId="1C431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1D1400D6">
            <w:pPr>
              <w:pStyle w:val="4"/>
              <w:jc w:val="center"/>
            </w:pPr>
            <w:r>
              <w:t>序号</w:t>
            </w:r>
          </w:p>
        </w:tc>
        <w:tc>
          <w:tcPr>
            <w:tcW w:w="821" w:type="dxa"/>
          </w:tcPr>
          <w:p w14:paraId="49C4C628">
            <w:pPr>
              <w:pStyle w:val="4"/>
              <w:jc w:val="center"/>
            </w:pPr>
            <w:r>
              <w:t>采购品目名称</w:t>
            </w:r>
          </w:p>
        </w:tc>
        <w:tc>
          <w:tcPr>
            <w:tcW w:w="821" w:type="dxa"/>
          </w:tcPr>
          <w:p w14:paraId="54D10FCA">
            <w:pPr>
              <w:pStyle w:val="4"/>
              <w:jc w:val="center"/>
            </w:pPr>
            <w:r>
              <w:t>标的名称</w:t>
            </w:r>
          </w:p>
        </w:tc>
        <w:tc>
          <w:tcPr>
            <w:tcW w:w="821" w:type="dxa"/>
          </w:tcPr>
          <w:p w14:paraId="722D8FD1">
            <w:pPr>
              <w:pStyle w:val="4"/>
              <w:jc w:val="center"/>
            </w:pPr>
            <w:r>
              <w:t>数量</w:t>
            </w:r>
            <w:r>
              <w:br w:type="textWrapping"/>
            </w:r>
            <w:r>
              <w:t>(计量单位)</w:t>
            </w:r>
          </w:p>
        </w:tc>
        <w:tc>
          <w:tcPr>
            <w:tcW w:w="821" w:type="dxa"/>
          </w:tcPr>
          <w:p w14:paraId="3F72A37F">
            <w:pPr>
              <w:pStyle w:val="4"/>
              <w:jc w:val="center"/>
            </w:pPr>
            <w:r>
              <w:t>标的金额 （元）</w:t>
            </w:r>
          </w:p>
        </w:tc>
        <w:tc>
          <w:tcPr>
            <w:tcW w:w="821" w:type="dxa"/>
          </w:tcPr>
          <w:p w14:paraId="66FFABA7">
            <w:pPr>
              <w:pStyle w:val="4"/>
              <w:jc w:val="center"/>
            </w:pPr>
            <w:r>
              <w:t>所属行业</w:t>
            </w:r>
          </w:p>
        </w:tc>
        <w:tc>
          <w:tcPr>
            <w:tcW w:w="821" w:type="dxa"/>
          </w:tcPr>
          <w:p w14:paraId="53160FF2">
            <w:pPr>
              <w:pStyle w:val="4"/>
              <w:jc w:val="center"/>
            </w:pPr>
            <w:r>
              <w:t>是否涉及核心产品</w:t>
            </w:r>
          </w:p>
        </w:tc>
        <w:tc>
          <w:tcPr>
            <w:tcW w:w="821" w:type="dxa"/>
          </w:tcPr>
          <w:p w14:paraId="399D369B">
            <w:pPr>
              <w:pStyle w:val="4"/>
              <w:jc w:val="center"/>
            </w:pPr>
            <w:r>
              <w:t>是否涉及采购进口产品</w:t>
            </w:r>
          </w:p>
        </w:tc>
        <w:tc>
          <w:tcPr>
            <w:tcW w:w="821" w:type="dxa"/>
          </w:tcPr>
          <w:p w14:paraId="535225B5">
            <w:pPr>
              <w:pStyle w:val="4"/>
              <w:jc w:val="center"/>
            </w:pPr>
            <w:r>
              <w:t>是否涉及强制采购节能产品</w:t>
            </w:r>
          </w:p>
        </w:tc>
        <w:tc>
          <w:tcPr>
            <w:tcW w:w="639" w:type="dxa"/>
          </w:tcPr>
          <w:p w14:paraId="4385D88A">
            <w:pPr>
              <w:pStyle w:val="4"/>
              <w:jc w:val="center"/>
            </w:pPr>
            <w:r>
              <w:t>是否涉及优先采购节能产品</w:t>
            </w:r>
          </w:p>
        </w:tc>
        <w:tc>
          <w:tcPr>
            <w:tcW w:w="639" w:type="dxa"/>
          </w:tcPr>
          <w:p w14:paraId="54B77B20">
            <w:pPr>
              <w:pStyle w:val="4"/>
              <w:jc w:val="center"/>
            </w:pPr>
            <w:r>
              <w:t>是否涉及优先采购环境标志产品</w:t>
            </w:r>
          </w:p>
        </w:tc>
      </w:tr>
      <w:tr w14:paraId="4D836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294459">
            <w:pPr>
              <w:pStyle w:val="4"/>
              <w:jc w:val="left"/>
            </w:pPr>
            <w:r>
              <w:t>1</w:t>
            </w:r>
          </w:p>
        </w:tc>
        <w:tc>
          <w:tcPr>
            <w:tcW w:w="821" w:type="dxa"/>
          </w:tcPr>
          <w:p w14:paraId="43E8DB23">
            <w:pPr>
              <w:pStyle w:val="4"/>
              <w:jc w:val="left"/>
            </w:pPr>
            <w:r>
              <w:t>触控一体机</w:t>
            </w:r>
          </w:p>
        </w:tc>
        <w:tc>
          <w:tcPr>
            <w:tcW w:w="821" w:type="dxa"/>
          </w:tcPr>
          <w:p w14:paraId="257E32EF">
            <w:pPr>
              <w:pStyle w:val="4"/>
              <w:jc w:val="left"/>
            </w:pPr>
            <w:r>
              <w:t>智慧黑板采购</w:t>
            </w:r>
          </w:p>
        </w:tc>
        <w:tc>
          <w:tcPr>
            <w:tcW w:w="821" w:type="dxa"/>
          </w:tcPr>
          <w:p w14:paraId="163B1CA4">
            <w:pPr>
              <w:pStyle w:val="4"/>
              <w:jc w:val="right"/>
            </w:pPr>
            <w:r>
              <w:t>11.00（套）</w:t>
            </w:r>
          </w:p>
        </w:tc>
        <w:tc>
          <w:tcPr>
            <w:tcW w:w="821" w:type="dxa"/>
          </w:tcPr>
          <w:p w14:paraId="5B84C2A1">
            <w:pPr>
              <w:pStyle w:val="4"/>
              <w:jc w:val="right"/>
            </w:pPr>
            <w:r>
              <w:t>352,000.00</w:t>
            </w:r>
          </w:p>
        </w:tc>
        <w:tc>
          <w:tcPr>
            <w:tcW w:w="821" w:type="dxa"/>
          </w:tcPr>
          <w:p w14:paraId="00C07089">
            <w:pPr>
              <w:pStyle w:val="4"/>
              <w:jc w:val="left"/>
            </w:pPr>
            <w:r>
              <w:t>工业</w:t>
            </w:r>
          </w:p>
        </w:tc>
        <w:tc>
          <w:tcPr>
            <w:tcW w:w="821" w:type="dxa"/>
          </w:tcPr>
          <w:p w14:paraId="7D4A2CB6">
            <w:pPr>
              <w:pStyle w:val="4"/>
              <w:jc w:val="left"/>
            </w:pPr>
            <w:r>
              <w:t>是</w:t>
            </w:r>
          </w:p>
        </w:tc>
        <w:tc>
          <w:tcPr>
            <w:tcW w:w="821" w:type="dxa"/>
          </w:tcPr>
          <w:p w14:paraId="76ABD5C0">
            <w:pPr>
              <w:pStyle w:val="4"/>
              <w:jc w:val="left"/>
            </w:pPr>
            <w:r>
              <w:t>否</w:t>
            </w:r>
          </w:p>
        </w:tc>
        <w:tc>
          <w:tcPr>
            <w:tcW w:w="821" w:type="dxa"/>
          </w:tcPr>
          <w:p w14:paraId="270F9A70">
            <w:pPr>
              <w:pStyle w:val="4"/>
              <w:jc w:val="left"/>
            </w:pPr>
            <w:r>
              <w:t>是</w:t>
            </w:r>
          </w:p>
        </w:tc>
        <w:tc>
          <w:tcPr>
            <w:tcW w:w="639" w:type="dxa"/>
          </w:tcPr>
          <w:p w14:paraId="003EF15F">
            <w:pPr>
              <w:pStyle w:val="4"/>
              <w:jc w:val="left"/>
            </w:pPr>
            <w:r>
              <w:t>否</w:t>
            </w:r>
          </w:p>
        </w:tc>
        <w:tc>
          <w:tcPr>
            <w:tcW w:w="639" w:type="dxa"/>
          </w:tcPr>
          <w:p w14:paraId="6BF032F6">
            <w:pPr>
              <w:pStyle w:val="4"/>
              <w:jc w:val="left"/>
            </w:pPr>
            <w:r>
              <w:t>是</w:t>
            </w:r>
          </w:p>
        </w:tc>
      </w:tr>
    </w:tbl>
    <w:p w14:paraId="6F3B0065">
      <w:pPr>
        <w:pStyle w:val="4"/>
        <w:jc w:val="left"/>
        <w:outlineLvl w:val="3"/>
      </w:pPr>
      <w:r>
        <w:rPr>
          <w:b/>
          <w:sz w:val="24"/>
        </w:rPr>
        <w:t>报价要求</w:t>
      </w:r>
    </w:p>
    <w:p w14:paraId="2DFDC4E1">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173"/>
        <w:gridCol w:w="977"/>
        <w:gridCol w:w="1661"/>
      </w:tblGrid>
      <w:tr w14:paraId="7352B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EF980F0">
            <w:pPr>
              <w:pStyle w:val="4"/>
              <w:jc w:val="center"/>
            </w:pPr>
            <w:r>
              <w:t>序号</w:t>
            </w:r>
          </w:p>
        </w:tc>
        <w:tc>
          <w:tcPr>
            <w:tcW w:w="1466" w:type="dxa"/>
          </w:tcPr>
          <w:p w14:paraId="42F98B58">
            <w:pPr>
              <w:pStyle w:val="4"/>
              <w:jc w:val="center"/>
            </w:pPr>
            <w:r>
              <w:t>报价内容</w:t>
            </w:r>
          </w:p>
        </w:tc>
        <w:tc>
          <w:tcPr>
            <w:tcW w:w="977" w:type="dxa"/>
          </w:tcPr>
          <w:p w14:paraId="67791B1C">
            <w:pPr>
              <w:pStyle w:val="4"/>
              <w:jc w:val="center"/>
            </w:pPr>
            <w:r>
              <w:t>数量</w:t>
            </w:r>
          </w:p>
        </w:tc>
        <w:tc>
          <w:tcPr>
            <w:tcW w:w="1173" w:type="dxa"/>
          </w:tcPr>
          <w:p w14:paraId="1CA4A71D">
            <w:pPr>
              <w:pStyle w:val="4"/>
              <w:jc w:val="center"/>
            </w:pPr>
            <w:r>
              <w:t>单价</w:t>
            </w:r>
          </w:p>
        </w:tc>
        <w:tc>
          <w:tcPr>
            <w:tcW w:w="1173" w:type="dxa"/>
          </w:tcPr>
          <w:p w14:paraId="39B53161">
            <w:pPr>
              <w:pStyle w:val="4"/>
              <w:jc w:val="center"/>
            </w:pPr>
            <w:r>
              <w:t>最高限价</w:t>
            </w:r>
          </w:p>
        </w:tc>
        <w:tc>
          <w:tcPr>
            <w:tcW w:w="977" w:type="dxa"/>
          </w:tcPr>
          <w:p w14:paraId="1D2F92C7">
            <w:pPr>
              <w:pStyle w:val="4"/>
              <w:jc w:val="center"/>
            </w:pPr>
            <w:r>
              <w:t>价款形式</w:t>
            </w:r>
          </w:p>
        </w:tc>
        <w:tc>
          <w:tcPr>
            <w:tcW w:w="1661" w:type="dxa"/>
          </w:tcPr>
          <w:p w14:paraId="7DE36027">
            <w:pPr>
              <w:pStyle w:val="4"/>
              <w:jc w:val="center"/>
            </w:pPr>
            <w:r>
              <w:t>报价说明</w:t>
            </w:r>
          </w:p>
        </w:tc>
      </w:tr>
      <w:tr w14:paraId="6D339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039777C">
            <w:pPr>
              <w:pStyle w:val="4"/>
              <w:jc w:val="left"/>
            </w:pPr>
            <w:r>
              <w:t>1</w:t>
            </w:r>
          </w:p>
        </w:tc>
        <w:tc>
          <w:tcPr>
            <w:tcW w:w="1466" w:type="dxa"/>
          </w:tcPr>
          <w:p w14:paraId="0B3DF71A">
            <w:pPr>
              <w:pStyle w:val="4"/>
              <w:jc w:val="left"/>
            </w:pPr>
            <w:r>
              <w:t>智慧黑板采购</w:t>
            </w:r>
          </w:p>
        </w:tc>
        <w:tc>
          <w:tcPr>
            <w:tcW w:w="977" w:type="dxa"/>
          </w:tcPr>
          <w:p w14:paraId="62D38D16">
            <w:pPr>
              <w:pStyle w:val="4"/>
              <w:jc w:val="right"/>
            </w:pPr>
            <w:r>
              <w:t>11.00（套）</w:t>
            </w:r>
          </w:p>
        </w:tc>
        <w:tc>
          <w:tcPr>
            <w:tcW w:w="1173" w:type="dxa"/>
          </w:tcPr>
          <w:p w14:paraId="2653048E">
            <w:pPr>
              <w:pStyle w:val="4"/>
              <w:jc w:val="right"/>
            </w:pPr>
            <w:r>
              <w:t>32,000（元）</w:t>
            </w:r>
          </w:p>
        </w:tc>
        <w:tc>
          <w:tcPr>
            <w:tcW w:w="1173" w:type="dxa"/>
          </w:tcPr>
          <w:p w14:paraId="563F411A">
            <w:pPr>
              <w:pStyle w:val="4"/>
              <w:jc w:val="right"/>
            </w:pPr>
            <w:r>
              <w:t>352,000.00</w:t>
            </w:r>
          </w:p>
        </w:tc>
        <w:tc>
          <w:tcPr>
            <w:tcW w:w="977" w:type="dxa"/>
          </w:tcPr>
          <w:p w14:paraId="7D28D56B">
            <w:pPr>
              <w:pStyle w:val="4"/>
              <w:jc w:val="left"/>
            </w:pPr>
            <w:r>
              <w:t>总价</w:t>
            </w:r>
          </w:p>
        </w:tc>
        <w:tc>
          <w:tcPr>
            <w:tcW w:w="1661" w:type="dxa"/>
          </w:tcPr>
          <w:p w14:paraId="7452E6EF">
            <w:pPr>
              <w:pStyle w:val="4"/>
              <w:jc w:val="left"/>
            </w:pPr>
            <w:r>
              <w:t>无</w:t>
            </w:r>
          </w:p>
        </w:tc>
      </w:tr>
    </w:tbl>
    <w:p w14:paraId="182A1A41">
      <w:pPr>
        <w:pStyle w:val="4"/>
        <w:ind w:firstLine="480"/>
        <w:jc w:val="left"/>
      </w:pPr>
      <w:r>
        <w:t>★注：供应商响应产品应当明确品牌和规格型号并指向唯一产品，不能指向唯一产品的，应通过报价表唯一产品说明栏补充说明。</w:t>
      </w:r>
    </w:p>
    <w:p w14:paraId="06E47FDA">
      <w:pPr>
        <w:pStyle w:val="4"/>
        <w:jc w:val="left"/>
      </w:pPr>
      <w:r>
        <w:rPr>
          <w:b/>
        </w:rPr>
        <w:t>本项目涉及核心产品：</w:t>
      </w:r>
    </w:p>
    <w:p w14:paraId="2C16CA57">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6D6A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4273E01">
            <w:pPr>
              <w:pStyle w:val="4"/>
              <w:jc w:val="center"/>
            </w:pPr>
            <w:r>
              <w:t>序号</w:t>
            </w:r>
          </w:p>
        </w:tc>
        <w:tc>
          <w:tcPr>
            <w:tcW w:w="2492" w:type="dxa"/>
          </w:tcPr>
          <w:p w14:paraId="757B45AC">
            <w:pPr>
              <w:pStyle w:val="4"/>
              <w:jc w:val="center"/>
            </w:pPr>
            <w:r>
              <w:t>采购品目名称</w:t>
            </w:r>
          </w:p>
        </w:tc>
        <w:tc>
          <w:tcPr>
            <w:tcW w:w="2492" w:type="dxa"/>
          </w:tcPr>
          <w:p w14:paraId="15FDCD0B">
            <w:pPr>
              <w:pStyle w:val="4"/>
              <w:jc w:val="center"/>
            </w:pPr>
            <w:r>
              <w:t>标的名称</w:t>
            </w:r>
          </w:p>
        </w:tc>
        <w:tc>
          <w:tcPr>
            <w:tcW w:w="2492" w:type="dxa"/>
          </w:tcPr>
          <w:p w14:paraId="73A8DFF2">
            <w:pPr>
              <w:pStyle w:val="4"/>
              <w:jc w:val="center"/>
            </w:pPr>
            <w:r>
              <w:t>产品名称</w:t>
            </w:r>
          </w:p>
        </w:tc>
      </w:tr>
      <w:tr w14:paraId="4B6C7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27B166">
            <w:pPr>
              <w:pStyle w:val="4"/>
              <w:jc w:val="left"/>
            </w:pPr>
            <w:r>
              <w:t>1</w:t>
            </w:r>
          </w:p>
        </w:tc>
        <w:tc>
          <w:tcPr>
            <w:tcW w:w="2492" w:type="dxa"/>
          </w:tcPr>
          <w:p w14:paraId="6FE3ACB9">
            <w:pPr>
              <w:pStyle w:val="4"/>
              <w:jc w:val="left"/>
            </w:pPr>
            <w:r>
              <w:t>触控一体机</w:t>
            </w:r>
          </w:p>
        </w:tc>
        <w:tc>
          <w:tcPr>
            <w:tcW w:w="2492" w:type="dxa"/>
          </w:tcPr>
          <w:p w14:paraId="12DA750A">
            <w:pPr>
              <w:pStyle w:val="4"/>
              <w:jc w:val="left"/>
            </w:pPr>
            <w:r>
              <w:t>智慧黑板采购</w:t>
            </w:r>
          </w:p>
        </w:tc>
        <w:tc>
          <w:tcPr>
            <w:tcW w:w="2492" w:type="dxa"/>
          </w:tcPr>
          <w:p w14:paraId="172C50CD">
            <w:pPr>
              <w:pStyle w:val="4"/>
              <w:jc w:val="left"/>
            </w:pPr>
            <w:r>
              <w:t>智慧黑板</w:t>
            </w:r>
          </w:p>
        </w:tc>
      </w:tr>
    </w:tbl>
    <w:p w14:paraId="218731A2">
      <w:pPr>
        <w:pStyle w:val="4"/>
        <w:ind w:firstLine="480"/>
        <w:jc w:val="left"/>
      </w:pPr>
      <w:r>
        <w:t>注：涉及核心产品的，具体评审规定见第四章。</w:t>
      </w:r>
    </w:p>
    <w:p w14:paraId="29BC0BF5">
      <w:pPr>
        <w:pStyle w:val="4"/>
        <w:jc w:val="left"/>
      </w:pPr>
      <w:r>
        <w:rPr>
          <w:b/>
        </w:rPr>
        <w:t>本项目涉及采购进口产品：</w:t>
      </w:r>
    </w:p>
    <w:p w14:paraId="0D9FD11E">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1201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210E61">
            <w:pPr>
              <w:pStyle w:val="4"/>
              <w:jc w:val="center"/>
            </w:pPr>
            <w:r>
              <w:t>序号</w:t>
            </w:r>
          </w:p>
        </w:tc>
        <w:tc>
          <w:tcPr>
            <w:tcW w:w="2492" w:type="dxa"/>
          </w:tcPr>
          <w:p w14:paraId="61E40428">
            <w:pPr>
              <w:pStyle w:val="4"/>
              <w:jc w:val="center"/>
            </w:pPr>
            <w:r>
              <w:t>采购品目名称</w:t>
            </w:r>
          </w:p>
        </w:tc>
        <w:tc>
          <w:tcPr>
            <w:tcW w:w="2492" w:type="dxa"/>
          </w:tcPr>
          <w:p w14:paraId="1ACF5E75">
            <w:pPr>
              <w:pStyle w:val="4"/>
              <w:jc w:val="center"/>
            </w:pPr>
            <w:r>
              <w:t>标的名称</w:t>
            </w:r>
          </w:p>
        </w:tc>
        <w:tc>
          <w:tcPr>
            <w:tcW w:w="2492" w:type="dxa"/>
          </w:tcPr>
          <w:p w14:paraId="2766E39E">
            <w:pPr>
              <w:pStyle w:val="4"/>
              <w:jc w:val="center"/>
            </w:pPr>
            <w:r>
              <w:t>产品名称</w:t>
            </w:r>
          </w:p>
        </w:tc>
      </w:tr>
      <w:tr w14:paraId="1F92E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86E229B">
            <w:pPr>
              <w:pStyle w:val="4"/>
              <w:jc w:val="center"/>
            </w:pPr>
            <w:r>
              <w:t>不涉及</w:t>
            </w:r>
          </w:p>
        </w:tc>
      </w:tr>
    </w:tbl>
    <w:p w14:paraId="6FE6DB52">
      <w:pPr>
        <w:pStyle w:val="4"/>
        <w:ind w:firstLine="480"/>
        <w:jc w:val="left"/>
      </w:pPr>
      <w:r>
        <w:t>★注：不涉及采购进口产品时，供应商不得提供进口产品进行响应；涉及采购进口产品时，如国产产品满足采购需求，也可提供国产产品进行响应。</w:t>
      </w:r>
    </w:p>
    <w:p w14:paraId="059DD630">
      <w:pPr>
        <w:pStyle w:val="4"/>
        <w:jc w:val="left"/>
      </w:pPr>
      <w:r>
        <w:rPr>
          <w:b/>
        </w:rPr>
        <w:t>本项目涉及强制采购节能产品：</w:t>
      </w:r>
    </w:p>
    <w:p w14:paraId="6D695E5C">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776D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D51C28">
            <w:pPr>
              <w:pStyle w:val="4"/>
              <w:jc w:val="center"/>
            </w:pPr>
            <w:r>
              <w:t>序号</w:t>
            </w:r>
          </w:p>
        </w:tc>
        <w:tc>
          <w:tcPr>
            <w:tcW w:w="2492" w:type="dxa"/>
          </w:tcPr>
          <w:p w14:paraId="695FDA3B">
            <w:pPr>
              <w:pStyle w:val="4"/>
              <w:jc w:val="center"/>
            </w:pPr>
            <w:r>
              <w:t>采购品目名称</w:t>
            </w:r>
          </w:p>
        </w:tc>
        <w:tc>
          <w:tcPr>
            <w:tcW w:w="2492" w:type="dxa"/>
          </w:tcPr>
          <w:p w14:paraId="06790B34">
            <w:pPr>
              <w:pStyle w:val="4"/>
              <w:jc w:val="center"/>
            </w:pPr>
            <w:r>
              <w:t>标的名称</w:t>
            </w:r>
          </w:p>
        </w:tc>
        <w:tc>
          <w:tcPr>
            <w:tcW w:w="2492" w:type="dxa"/>
          </w:tcPr>
          <w:p w14:paraId="59C64E3F">
            <w:pPr>
              <w:pStyle w:val="4"/>
              <w:jc w:val="center"/>
            </w:pPr>
            <w:r>
              <w:t>产品名称</w:t>
            </w:r>
          </w:p>
        </w:tc>
      </w:tr>
      <w:tr w14:paraId="6FC03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69AC9E">
            <w:pPr>
              <w:pStyle w:val="4"/>
              <w:jc w:val="left"/>
            </w:pPr>
            <w:r>
              <w:t>1</w:t>
            </w:r>
          </w:p>
        </w:tc>
        <w:tc>
          <w:tcPr>
            <w:tcW w:w="2492" w:type="dxa"/>
          </w:tcPr>
          <w:p w14:paraId="72F550D2">
            <w:pPr>
              <w:pStyle w:val="4"/>
              <w:jc w:val="left"/>
            </w:pPr>
            <w:r>
              <w:t>触控一体机</w:t>
            </w:r>
          </w:p>
        </w:tc>
        <w:tc>
          <w:tcPr>
            <w:tcW w:w="2492" w:type="dxa"/>
          </w:tcPr>
          <w:p w14:paraId="4805A8D9">
            <w:pPr>
              <w:pStyle w:val="4"/>
              <w:jc w:val="left"/>
            </w:pPr>
            <w:r>
              <w:t>智慧黑板采购</w:t>
            </w:r>
          </w:p>
        </w:tc>
        <w:tc>
          <w:tcPr>
            <w:tcW w:w="2492" w:type="dxa"/>
          </w:tcPr>
          <w:p w14:paraId="4756DA5F">
            <w:pPr>
              <w:pStyle w:val="4"/>
              <w:jc w:val="left"/>
            </w:pPr>
            <w:r>
              <w:t>智慧黑板</w:t>
            </w:r>
          </w:p>
        </w:tc>
      </w:tr>
    </w:tbl>
    <w:p w14:paraId="05CBA876">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四章符合性审查表。</w:t>
      </w:r>
    </w:p>
    <w:p w14:paraId="5EAC6D6F">
      <w:pPr>
        <w:pStyle w:val="4"/>
        <w:jc w:val="left"/>
      </w:pPr>
      <w:r>
        <w:rPr>
          <w:b/>
        </w:rPr>
        <w:t>本项目涉及优先采购节能产品：</w:t>
      </w:r>
    </w:p>
    <w:p w14:paraId="5831A852">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AE11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04B4D3">
            <w:pPr>
              <w:pStyle w:val="4"/>
              <w:jc w:val="center"/>
            </w:pPr>
            <w:r>
              <w:t>序号</w:t>
            </w:r>
          </w:p>
        </w:tc>
        <w:tc>
          <w:tcPr>
            <w:tcW w:w="2492" w:type="dxa"/>
          </w:tcPr>
          <w:p w14:paraId="08919E8B">
            <w:pPr>
              <w:pStyle w:val="4"/>
              <w:jc w:val="center"/>
            </w:pPr>
            <w:r>
              <w:t>采购品目名称</w:t>
            </w:r>
          </w:p>
        </w:tc>
        <w:tc>
          <w:tcPr>
            <w:tcW w:w="2492" w:type="dxa"/>
          </w:tcPr>
          <w:p w14:paraId="79FC7330">
            <w:pPr>
              <w:pStyle w:val="4"/>
              <w:jc w:val="center"/>
            </w:pPr>
            <w:r>
              <w:t>标的名称</w:t>
            </w:r>
          </w:p>
        </w:tc>
        <w:tc>
          <w:tcPr>
            <w:tcW w:w="2492" w:type="dxa"/>
          </w:tcPr>
          <w:p w14:paraId="6563058D">
            <w:pPr>
              <w:pStyle w:val="4"/>
              <w:jc w:val="center"/>
            </w:pPr>
            <w:r>
              <w:t>产品名称</w:t>
            </w:r>
          </w:p>
        </w:tc>
      </w:tr>
      <w:tr w14:paraId="46D1E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46054D5">
            <w:pPr>
              <w:pStyle w:val="4"/>
              <w:jc w:val="center"/>
            </w:pPr>
            <w:r>
              <w:t>不涉及</w:t>
            </w:r>
          </w:p>
        </w:tc>
      </w:tr>
    </w:tbl>
    <w:p w14:paraId="74A6CBB8">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四章规定。</w:t>
      </w:r>
    </w:p>
    <w:p w14:paraId="4108EFD8">
      <w:pPr>
        <w:pStyle w:val="4"/>
        <w:jc w:val="left"/>
      </w:pPr>
      <w:r>
        <w:rPr>
          <w:b/>
        </w:rPr>
        <w:t>本项目涉及优先采购环境标志产品：</w:t>
      </w:r>
    </w:p>
    <w:p w14:paraId="2624E405">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14BA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8E7656">
            <w:pPr>
              <w:pStyle w:val="4"/>
              <w:jc w:val="center"/>
            </w:pPr>
            <w:r>
              <w:t>序号</w:t>
            </w:r>
          </w:p>
        </w:tc>
        <w:tc>
          <w:tcPr>
            <w:tcW w:w="2492" w:type="dxa"/>
          </w:tcPr>
          <w:p w14:paraId="7D114AA5">
            <w:pPr>
              <w:pStyle w:val="4"/>
              <w:jc w:val="center"/>
            </w:pPr>
            <w:r>
              <w:t>采购品目名称</w:t>
            </w:r>
          </w:p>
        </w:tc>
        <w:tc>
          <w:tcPr>
            <w:tcW w:w="2492" w:type="dxa"/>
          </w:tcPr>
          <w:p w14:paraId="59FC134B">
            <w:pPr>
              <w:pStyle w:val="4"/>
              <w:jc w:val="center"/>
            </w:pPr>
            <w:r>
              <w:t>标的名称</w:t>
            </w:r>
          </w:p>
        </w:tc>
        <w:tc>
          <w:tcPr>
            <w:tcW w:w="2492" w:type="dxa"/>
          </w:tcPr>
          <w:p w14:paraId="01B9A9AB">
            <w:pPr>
              <w:pStyle w:val="4"/>
              <w:jc w:val="center"/>
            </w:pPr>
            <w:r>
              <w:t>产品名称</w:t>
            </w:r>
          </w:p>
        </w:tc>
      </w:tr>
      <w:tr w14:paraId="5DA56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207F92">
            <w:pPr>
              <w:pStyle w:val="4"/>
              <w:jc w:val="left"/>
            </w:pPr>
            <w:r>
              <w:t>1</w:t>
            </w:r>
          </w:p>
        </w:tc>
        <w:tc>
          <w:tcPr>
            <w:tcW w:w="2492" w:type="dxa"/>
          </w:tcPr>
          <w:p w14:paraId="608FE722">
            <w:pPr>
              <w:pStyle w:val="4"/>
              <w:jc w:val="left"/>
            </w:pPr>
            <w:r>
              <w:t>触控一体机</w:t>
            </w:r>
          </w:p>
        </w:tc>
        <w:tc>
          <w:tcPr>
            <w:tcW w:w="2492" w:type="dxa"/>
          </w:tcPr>
          <w:p w14:paraId="01AF6E53">
            <w:pPr>
              <w:pStyle w:val="4"/>
              <w:jc w:val="left"/>
            </w:pPr>
            <w:r>
              <w:t>智慧黑板采购</w:t>
            </w:r>
          </w:p>
        </w:tc>
        <w:tc>
          <w:tcPr>
            <w:tcW w:w="2492" w:type="dxa"/>
          </w:tcPr>
          <w:p w14:paraId="1BE7DF4A">
            <w:pPr>
              <w:pStyle w:val="4"/>
              <w:jc w:val="left"/>
            </w:pPr>
            <w:r>
              <w:t>智慧黑板</w:t>
            </w:r>
          </w:p>
        </w:tc>
      </w:tr>
    </w:tbl>
    <w:p w14:paraId="43BC6CCA">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四章规定。</w:t>
      </w:r>
    </w:p>
    <w:p w14:paraId="504EFEBF">
      <w:pPr>
        <w:pStyle w:val="4"/>
        <w:jc w:val="left"/>
        <w:outlineLvl w:val="2"/>
      </w:pPr>
      <w:r>
        <w:rPr>
          <w:b/>
          <w:sz w:val="28"/>
        </w:rPr>
        <w:t>3.2.技术要求</w:t>
      </w:r>
    </w:p>
    <w:p w14:paraId="5AE516B5">
      <w:pPr>
        <w:pStyle w:val="4"/>
        <w:jc w:val="left"/>
      </w:pPr>
      <w:r>
        <w:t>采购包1：</w:t>
      </w:r>
    </w:p>
    <w:p w14:paraId="24B5356E">
      <w:pPr>
        <w:pStyle w:val="4"/>
        <w:jc w:val="left"/>
      </w:pPr>
      <w:r>
        <w:t>标的名称：智慧黑板采购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8"/>
        <w:gridCol w:w="1079"/>
        <w:gridCol w:w="2074"/>
        <w:gridCol w:w="4621"/>
      </w:tblGrid>
      <w:tr w14:paraId="149B8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9B29A5">
            <w:pPr>
              <w:pStyle w:val="4"/>
              <w:jc w:val="center"/>
            </w:pPr>
            <w:r>
              <w:t>序号</w:t>
            </w:r>
          </w:p>
        </w:tc>
        <w:tc>
          <w:tcPr>
            <w:tcW w:w="1246" w:type="dxa"/>
          </w:tcPr>
          <w:p w14:paraId="608BA0D2">
            <w:pPr>
              <w:pStyle w:val="4"/>
              <w:jc w:val="center"/>
            </w:pPr>
            <w:r>
              <w:t>符号标识</w:t>
            </w:r>
          </w:p>
        </w:tc>
        <w:tc>
          <w:tcPr>
            <w:tcW w:w="2492" w:type="dxa"/>
          </w:tcPr>
          <w:p w14:paraId="50B5EDBA">
            <w:pPr>
              <w:pStyle w:val="4"/>
              <w:jc w:val="center"/>
            </w:pPr>
            <w:r>
              <w:t>技术要求名称</w:t>
            </w:r>
          </w:p>
        </w:tc>
        <w:tc>
          <w:tcPr>
            <w:tcW w:w="3738" w:type="dxa"/>
          </w:tcPr>
          <w:p w14:paraId="46E8637C">
            <w:pPr>
              <w:pStyle w:val="4"/>
              <w:jc w:val="center"/>
            </w:pPr>
            <w:r>
              <w:t>技术参数与性能指标</w:t>
            </w:r>
          </w:p>
        </w:tc>
      </w:tr>
      <w:tr w14:paraId="20526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E60F91">
            <w:pPr>
              <w:pStyle w:val="4"/>
              <w:jc w:val="left"/>
            </w:pPr>
            <w:r>
              <w:t>1</w:t>
            </w:r>
          </w:p>
        </w:tc>
        <w:tc>
          <w:tcPr>
            <w:tcW w:w="1246" w:type="dxa"/>
          </w:tcPr>
          <w:p w14:paraId="51F48146"/>
        </w:tc>
        <w:tc>
          <w:tcPr>
            <w:tcW w:w="2492" w:type="dxa"/>
          </w:tcPr>
          <w:p w14:paraId="1B68B97B"/>
        </w:tc>
        <w:tc>
          <w:tcPr>
            <w:tcW w:w="3738" w:type="dxa"/>
          </w:tcPr>
          <w:tbl>
            <w:tblPr>
              <w:tblStyle w:val="2"/>
              <w:tblW w:w="0" w:type="auto"/>
              <w:tblInd w:w="1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0"/>
              <w:gridCol w:w="670"/>
              <w:gridCol w:w="1570"/>
              <w:gridCol w:w="713"/>
              <w:gridCol w:w="670"/>
            </w:tblGrid>
            <w:tr w14:paraId="02B5A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00D9283">
                  <w:pPr>
                    <w:pStyle w:val="4"/>
                    <w:ind w:firstLine="420"/>
                    <w:jc w:val="both"/>
                  </w:pPr>
                  <w:r>
                    <w:rPr>
                      <w:rFonts w:ascii="仿宋" w:hAnsi="仿宋" w:eastAsia="仿宋" w:cs="仿宋"/>
                      <w:color w:val="000000"/>
                      <w:sz w:val="24"/>
                      <w:shd w:val="clear" w:fill="FFFFFF"/>
                    </w:rPr>
                    <w:t>序号</w:t>
                  </w:r>
                </w:p>
              </w:tc>
              <w:tc>
                <w:tcPr>
                  <w:tcW w:w="706" w:type="dxa"/>
                  <w:tcBorders>
                    <w:top w:val="single" w:color="000000" w:sz="4" w:space="0"/>
                    <w:left w:val="nil"/>
                    <w:bottom w:val="single" w:color="000000" w:sz="4" w:space="0"/>
                    <w:right w:val="single" w:color="000000" w:sz="4" w:space="0"/>
                  </w:tcBorders>
                  <w:tcMar>
                    <w:top w:w="0" w:type="dxa"/>
                    <w:left w:w="0" w:type="dxa"/>
                    <w:bottom w:w="0" w:type="dxa"/>
                    <w:right w:w="0" w:type="dxa"/>
                  </w:tcMar>
                </w:tcPr>
                <w:p w14:paraId="1650D24B">
                  <w:pPr>
                    <w:pStyle w:val="4"/>
                    <w:ind w:firstLine="420"/>
                    <w:jc w:val="both"/>
                  </w:pPr>
                  <w:r>
                    <w:rPr>
                      <w:rFonts w:ascii="仿宋" w:hAnsi="仿宋" w:eastAsia="仿宋" w:cs="仿宋"/>
                      <w:color w:val="000000"/>
                      <w:sz w:val="24"/>
                      <w:shd w:val="clear" w:fill="FFFFFF"/>
                    </w:rPr>
                    <w:t>内容</w:t>
                  </w:r>
                </w:p>
              </w:tc>
              <w:tc>
                <w:tcPr>
                  <w:tcW w:w="1402" w:type="dxa"/>
                  <w:tcBorders>
                    <w:top w:val="single" w:color="000000" w:sz="4" w:space="0"/>
                    <w:left w:val="nil"/>
                    <w:bottom w:val="single" w:color="000000" w:sz="4" w:space="0"/>
                    <w:right w:val="single" w:color="000000" w:sz="4" w:space="0"/>
                  </w:tcBorders>
                  <w:tcMar>
                    <w:top w:w="0" w:type="dxa"/>
                    <w:left w:w="0" w:type="dxa"/>
                    <w:bottom w:w="0" w:type="dxa"/>
                    <w:right w:w="0" w:type="dxa"/>
                  </w:tcMar>
                </w:tcPr>
                <w:p w14:paraId="6D35E46E">
                  <w:pPr>
                    <w:pStyle w:val="4"/>
                    <w:ind w:firstLine="420"/>
                    <w:jc w:val="both"/>
                  </w:pPr>
                  <w:r>
                    <w:rPr>
                      <w:rFonts w:ascii="仿宋" w:hAnsi="仿宋" w:eastAsia="仿宋" w:cs="仿宋"/>
                      <w:color w:val="000000"/>
                      <w:sz w:val="24"/>
                      <w:shd w:val="clear" w:fill="FFFFFF"/>
                    </w:rPr>
                    <w:t>详细要求</w:t>
                  </w:r>
                </w:p>
              </w:tc>
              <w:tc>
                <w:tcPr>
                  <w:tcW w:w="392" w:type="dxa"/>
                  <w:tcBorders>
                    <w:top w:val="single" w:color="000000" w:sz="4" w:space="0"/>
                    <w:left w:val="nil"/>
                    <w:bottom w:val="single" w:color="000000" w:sz="4" w:space="0"/>
                    <w:right w:val="single" w:color="000000" w:sz="4" w:space="0"/>
                  </w:tcBorders>
                  <w:tcMar>
                    <w:top w:w="0" w:type="dxa"/>
                    <w:left w:w="0" w:type="dxa"/>
                    <w:bottom w:w="0" w:type="dxa"/>
                    <w:right w:w="0" w:type="dxa"/>
                  </w:tcMar>
                </w:tcPr>
                <w:p w14:paraId="204788CA">
                  <w:pPr>
                    <w:pStyle w:val="4"/>
                    <w:ind w:firstLine="420"/>
                    <w:jc w:val="both"/>
                  </w:pPr>
                  <w:r>
                    <w:rPr>
                      <w:rFonts w:ascii="仿宋" w:hAnsi="仿宋" w:eastAsia="仿宋" w:cs="仿宋"/>
                      <w:color w:val="000000"/>
                      <w:sz w:val="24"/>
                      <w:shd w:val="clear" w:fill="FFFFFF"/>
                    </w:rPr>
                    <w:t>数量</w:t>
                  </w:r>
                </w:p>
              </w:tc>
              <w:tc>
                <w:tcPr>
                  <w:tcW w:w="482" w:type="dxa"/>
                  <w:tcBorders>
                    <w:top w:val="single" w:color="000000" w:sz="4" w:space="0"/>
                    <w:left w:val="nil"/>
                    <w:bottom w:val="single" w:color="000000" w:sz="4" w:space="0"/>
                    <w:right w:val="single" w:color="000000" w:sz="4" w:space="0"/>
                  </w:tcBorders>
                  <w:tcMar>
                    <w:top w:w="0" w:type="dxa"/>
                    <w:left w:w="0" w:type="dxa"/>
                    <w:bottom w:w="0" w:type="dxa"/>
                    <w:right w:w="0" w:type="dxa"/>
                  </w:tcMar>
                </w:tcPr>
                <w:p w14:paraId="65C5BE84">
                  <w:pPr>
                    <w:pStyle w:val="4"/>
                    <w:ind w:firstLine="420"/>
                    <w:jc w:val="both"/>
                  </w:pPr>
                  <w:r>
                    <w:rPr>
                      <w:rFonts w:ascii="仿宋" w:hAnsi="仿宋" w:eastAsia="仿宋" w:cs="仿宋"/>
                      <w:color w:val="000000"/>
                      <w:sz w:val="24"/>
                      <w:shd w:val="clear" w:fill="FFFFFF"/>
                    </w:rPr>
                    <w:t>备注</w:t>
                  </w:r>
                </w:p>
              </w:tc>
            </w:tr>
            <w:tr w14:paraId="2BA9A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42BFB64B">
                  <w:pPr>
                    <w:pStyle w:val="4"/>
                    <w:ind w:firstLine="420"/>
                    <w:jc w:val="center"/>
                  </w:pPr>
                  <w:r>
                    <w:rPr>
                      <w:rFonts w:ascii="方正仿宋_gb2312" w:hAnsi="方正仿宋_gb2312" w:eastAsia="方正仿宋_gb2312" w:cs="方正仿宋_gb2312"/>
                      <w:color w:val="000000"/>
                      <w:sz w:val="24"/>
                      <w:shd w:val="clear" w:fill="FFFFFF"/>
                    </w:rPr>
                    <w:t>1</w:t>
                  </w:r>
                </w:p>
              </w:tc>
              <w:tc>
                <w:tcPr>
                  <w:tcW w:w="706" w:type="dxa"/>
                  <w:tcBorders>
                    <w:top w:val="nil"/>
                    <w:left w:val="nil"/>
                    <w:bottom w:val="single" w:color="000000" w:sz="4" w:space="0"/>
                    <w:right w:val="single" w:color="000000" w:sz="4" w:space="0"/>
                  </w:tcBorders>
                  <w:tcMar>
                    <w:top w:w="0" w:type="dxa"/>
                    <w:left w:w="0" w:type="dxa"/>
                    <w:bottom w:w="0" w:type="dxa"/>
                    <w:right w:w="0" w:type="dxa"/>
                  </w:tcMar>
                </w:tcPr>
                <w:p w14:paraId="13EFECFD">
                  <w:pPr>
                    <w:pStyle w:val="4"/>
                    <w:jc w:val="center"/>
                  </w:pPr>
                  <w:r>
                    <w:rPr>
                      <w:rFonts w:ascii="方正仿宋_gb2312" w:hAnsi="方正仿宋_gb2312" w:eastAsia="方正仿宋_gb2312" w:cs="方正仿宋_gb2312"/>
                      <w:b/>
                      <w:color w:val="000000"/>
                      <w:sz w:val="24"/>
                      <w:shd w:val="clear" w:fill="FFFFFF"/>
                    </w:rPr>
                    <w:t>智慧黑板</w:t>
                  </w:r>
                </w:p>
              </w:tc>
              <w:tc>
                <w:tcPr>
                  <w:tcW w:w="1402" w:type="dxa"/>
                  <w:tcBorders>
                    <w:top w:val="nil"/>
                    <w:left w:val="nil"/>
                    <w:bottom w:val="single" w:color="000000" w:sz="4" w:space="0"/>
                    <w:right w:val="single" w:color="000000" w:sz="4" w:space="0"/>
                  </w:tcBorders>
                  <w:tcMar>
                    <w:top w:w="0" w:type="dxa"/>
                    <w:left w:w="0" w:type="dxa"/>
                    <w:bottom w:w="0" w:type="dxa"/>
                    <w:right w:w="0" w:type="dxa"/>
                  </w:tcMar>
                </w:tcPr>
                <w:p w14:paraId="116B4D32">
                  <w:pPr>
                    <w:pStyle w:val="4"/>
                    <w:jc w:val="both"/>
                  </w:pPr>
                  <w:r>
                    <w:rPr>
                      <w:rFonts w:ascii="方正仿宋_gb2312" w:hAnsi="方正仿宋_gb2312" w:eastAsia="方正仿宋_gb2312" w:cs="方正仿宋_gb2312"/>
                      <w:sz w:val="24"/>
                    </w:rPr>
                    <w:t>（一）、硬件要求</w:t>
                  </w:r>
                </w:p>
                <w:p w14:paraId="4EEC55DA">
                  <w:pPr>
                    <w:pStyle w:val="4"/>
                    <w:numPr>
                      <w:ilvl w:val="0"/>
                      <w:numId w:val="1"/>
                    </w:numPr>
                    <w:jc w:val="both"/>
                  </w:pPr>
                  <w:r>
                    <w:rPr>
                      <w:rFonts w:ascii="方正仿宋_gb2312" w:hAnsi="方正仿宋_gb2312" w:eastAsia="方正仿宋_gb2312" w:cs="方正仿宋_gb2312"/>
                      <w:sz w:val="24"/>
                    </w:rPr>
                    <w:t>采用中置屏幕两侧黑板设计，平面一体化无推拉式结构，采用金属材质背板，整体宽度≥4200mm，高度≥1200mm，中间屏幕尺寸≥86英寸，分辨率≥3840×2160，处理器主频≥2.0GHz，内存≥8G DDR4，硬盘≥250G SSD。</w:t>
                  </w:r>
                </w:p>
                <w:p w14:paraId="33747010">
                  <w:pPr>
                    <w:pStyle w:val="4"/>
                    <w:numPr>
                      <w:ilvl w:val="0"/>
                      <w:numId w:val="1"/>
                    </w:numPr>
                    <w:jc w:val="both"/>
                  </w:pPr>
                  <w:r>
                    <w:rPr>
                      <w:rFonts w:ascii="方正仿宋_gb2312" w:hAnsi="方正仿宋_gb2312" w:eastAsia="方正仿宋_gb2312" w:cs="方正仿宋_gb2312"/>
                      <w:sz w:val="24"/>
                    </w:rPr>
                    <w:t>屏幕采用钢化玻璃覆盖，具备防眩光效果，玻璃表面硬度≥8H。</w:t>
                  </w:r>
                </w:p>
                <w:p w14:paraId="0D22C2D6">
                  <w:pPr>
                    <w:pStyle w:val="4"/>
                    <w:numPr>
                      <w:ilvl w:val="0"/>
                      <w:numId w:val="1"/>
                    </w:numPr>
                    <w:jc w:val="both"/>
                  </w:pPr>
                  <w:r>
                    <w:rPr>
                      <w:rFonts w:ascii="方正仿宋_gb2312" w:hAnsi="方正仿宋_gb2312" w:eastAsia="方正仿宋_gb2312" w:cs="方正仿宋_gb2312"/>
                      <w:sz w:val="24"/>
                    </w:rPr>
                    <w:t>OPS模块采用按压式卡扣，无螺丝结构。（提供产品实物图片）</w:t>
                  </w:r>
                </w:p>
                <w:p w14:paraId="56A18561">
                  <w:pPr>
                    <w:pStyle w:val="4"/>
                    <w:numPr>
                      <w:ilvl w:val="0"/>
                      <w:numId w:val="1"/>
                    </w:numPr>
                    <w:jc w:val="both"/>
                  </w:pPr>
                  <w:r>
                    <w:rPr>
                      <w:rFonts w:ascii="方正仿宋_gb2312" w:hAnsi="方正仿宋_gb2312" w:eastAsia="方正仿宋_gb2312" w:cs="方正仿宋_gb2312"/>
                      <w:sz w:val="24"/>
                    </w:rPr>
                    <w:t>OPS模块与整机连接接口针脚总数≤60pin，嵌入式系统≥Android 13版本。（签订合同时需提供具有CMA认证的第三方检测报告复印件并加盖供应商公章）</w:t>
                  </w:r>
                </w:p>
                <w:p w14:paraId="001ABF23">
                  <w:pPr>
                    <w:pStyle w:val="4"/>
                    <w:numPr>
                      <w:ilvl w:val="0"/>
                      <w:numId w:val="1"/>
                    </w:numPr>
                    <w:jc w:val="both"/>
                  </w:pPr>
                  <w:r>
                    <w:rPr>
                      <w:rFonts w:ascii="方正仿宋_gb2312" w:hAnsi="方正仿宋_gb2312" w:eastAsia="方正仿宋_gb2312" w:cs="方正仿宋_gb2312"/>
                      <w:sz w:val="24"/>
                    </w:rPr>
                    <w:t>支持Windows系统中进行20点或以上触控，支持在Android系统中进行20点或以上触控。</w:t>
                  </w:r>
                </w:p>
                <w:p w14:paraId="385E334C">
                  <w:pPr>
                    <w:pStyle w:val="4"/>
                    <w:numPr>
                      <w:ilvl w:val="0"/>
                      <w:numId w:val="1"/>
                    </w:numPr>
                    <w:jc w:val="both"/>
                  </w:pPr>
                  <w:r>
                    <w:rPr>
                      <w:rFonts w:ascii="方正仿宋_gb2312" w:hAnsi="方正仿宋_gb2312" w:eastAsia="方正仿宋_gb2312" w:cs="方正仿宋_gb2312"/>
                      <w:sz w:val="24"/>
                    </w:rPr>
                    <w:t>前置≥2路USB3.0和1路Type C，侧置≥1路HDMI、1路触控USB和1路RS232。</w:t>
                  </w:r>
                </w:p>
                <w:p w14:paraId="460AD12E">
                  <w:pPr>
                    <w:pStyle w:val="4"/>
                    <w:numPr>
                      <w:ilvl w:val="0"/>
                      <w:numId w:val="1"/>
                    </w:numPr>
                    <w:jc w:val="both"/>
                  </w:pPr>
                  <w:r>
                    <w:rPr>
                      <w:rFonts w:ascii="方正仿宋_gb2312" w:hAnsi="方正仿宋_gb2312" w:eastAsia="方正仿宋_gb2312" w:cs="方正仿宋_gb2312"/>
                      <w:sz w:val="24"/>
                    </w:rPr>
                    <w:t>内置2.2声道扬声器，顶置朝前发声，扬声器数量≥4个，额定总功率60W，可进行高级音效设置，支持左右声道平衡调节。</w:t>
                  </w:r>
                </w:p>
                <w:p w14:paraId="5ACEE632">
                  <w:pPr>
                    <w:pStyle w:val="4"/>
                    <w:numPr>
                      <w:ilvl w:val="0"/>
                      <w:numId w:val="1"/>
                    </w:numPr>
                    <w:jc w:val="both"/>
                  </w:pPr>
                  <w:r>
                    <w:rPr>
                      <w:rFonts w:ascii="方正仿宋_gb2312" w:hAnsi="方正仿宋_gb2312" w:eastAsia="方正仿宋_gb2312" w:cs="方正仿宋_gb2312"/>
                      <w:sz w:val="24"/>
                    </w:rPr>
                    <w:t>内置摄像头≥4个，至少分为两组，一组为三镜头拼接结构，一组为独立单摄像头，具有摄像头工作状态指示灯。（提供产品实物图片）</w:t>
                  </w:r>
                </w:p>
                <w:p w14:paraId="1A813C14">
                  <w:pPr>
                    <w:pStyle w:val="4"/>
                    <w:numPr>
                      <w:ilvl w:val="0"/>
                      <w:numId w:val="1"/>
                    </w:numPr>
                    <w:jc w:val="both"/>
                  </w:pPr>
                  <w:r>
                    <w:rPr>
                      <w:rFonts w:ascii="方正仿宋_gb2312" w:hAnsi="方正仿宋_gb2312" w:eastAsia="方正仿宋_gb2312" w:cs="方正仿宋_gb2312"/>
                      <w:sz w:val="24"/>
                    </w:rPr>
                    <w:t>摄像头拍摄像素≥1300W，视场角≥140度，内置麦克风≥8阵列，拾音角度≥180°，拾音距离≥10m。</w:t>
                  </w:r>
                </w:p>
                <w:p w14:paraId="5D82C45F">
                  <w:pPr>
                    <w:pStyle w:val="4"/>
                    <w:numPr>
                      <w:ilvl w:val="0"/>
                      <w:numId w:val="1"/>
                    </w:numPr>
                    <w:jc w:val="both"/>
                  </w:pPr>
                  <w:r>
                    <w:rPr>
                      <w:rFonts w:ascii="方正仿宋_gb2312" w:hAnsi="方正仿宋_gb2312" w:eastAsia="方正仿宋_gb2312" w:cs="方正仿宋_gb2312"/>
                      <w:sz w:val="24"/>
                    </w:rPr>
                    <w:t>前置按键≤6个，至少具有电源、音量调节、设置按键。（提供产品实物图片）</w:t>
                  </w:r>
                </w:p>
                <w:p w14:paraId="7D2BDBC2">
                  <w:pPr>
                    <w:pStyle w:val="4"/>
                    <w:numPr>
                      <w:ilvl w:val="0"/>
                      <w:numId w:val="1"/>
                    </w:numPr>
                    <w:jc w:val="both"/>
                  </w:pPr>
                  <w:r>
                    <w:rPr>
                      <w:rFonts w:ascii="方正仿宋_gb2312" w:hAnsi="方正仿宋_gb2312" w:eastAsia="方正仿宋_gb2312" w:cs="方正仿宋_gb2312"/>
                      <w:sz w:val="24"/>
                    </w:rPr>
                    <w:t>内置双无线模块，支持Wifi 6，支持蓝牙≥5.4版本，Wi-Fi及AP热点支持频段2.4GHz/5GHz。（签订合同时需提供具有CMA认证的第三方检测报告复印件并加盖供应商公章）</w:t>
                  </w:r>
                </w:p>
                <w:p w14:paraId="5C14D15B">
                  <w:pPr>
                    <w:pStyle w:val="4"/>
                    <w:jc w:val="both"/>
                  </w:pPr>
                  <w:r>
                    <w:rPr>
                      <w:rFonts w:ascii="方正仿宋_gb2312" w:hAnsi="方正仿宋_gb2312" w:eastAsia="方正仿宋_gb2312" w:cs="方正仿宋_gb2312"/>
                      <w:sz w:val="24"/>
                    </w:rPr>
                    <w:t>（二）、性能要求</w:t>
                  </w:r>
                </w:p>
                <w:p w14:paraId="09566D0A">
                  <w:pPr>
                    <w:pStyle w:val="4"/>
                    <w:numPr>
                      <w:ilvl w:val="0"/>
                      <w:numId w:val="1"/>
                    </w:numPr>
                    <w:jc w:val="both"/>
                  </w:pPr>
                  <w:r>
                    <w:rPr>
                      <w:rFonts w:ascii="方正仿宋_gb2312" w:hAnsi="方正仿宋_gb2312" w:eastAsia="方正仿宋_gb2312" w:cs="方正仿宋_gb2312"/>
                      <w:sz w:val="24"/>
                    </w:rPr>
                    <w:t>支持在课件播放后，自动开始记录副屏黑板内容，无需手动点击记录，支持将副屏书写轨迹部分选中，选中的内容可以插入到授课课件中，结合课件和板书一起讲解，板书电子化支持手动存储，支持自动存储，支持记录左右两侧内容，生成图片并保存，保存路径支持本地保存以及云空间保存，板书图片可通过二维码分享，手机扫码二维码即可在手机端获取图片。（签订合同时需提供具有CMA认证的第三方检测报告复印件并加盖供应商公章）</w:t>
                  </w:r>
                </w:p>
                <w:p w14:paraId="5E90E2D8">
                  <w:pPr>
                    <w:pStyle w:val="4"/>
                    <w:numPr>
                      <w:ilvl w:val="0"/>
                      <w:numId w:val="1"/>
                    </w:numPr>
                    <w:jc w:val="both"/>
                  </w:pPr>
                  <w:r>
                    <w:rPr>
                      <w:rFonts w:ascii="方正仿宋_gb2312" w:hAnsi="方正仿宋_gb2312" w:eastAsia="方正仿宋_gb2312" w:cs="方正仿宋_gb2312"/>
                      <w:sz w:val="24"/>
                    </w:rPr>
                    <w:t>支持纸质护眼模式，可实现画面纹理的实时调整，支持牛皮纸、素描纸、宣纸、水纹纸等纸质纹理，支持透明度调节，支持色温调节。</w:t>
                  </w:r>
                </w:p>
                <w:p w14:paraId="10E061E1">
                  <w:pPr>
                    <w:pStyle w:val="4"/>
                    <w:numPr>
                      <w:ilvl w:val="0"/>
                      <w:numId w:val="1"/>
                    </w:numPr>
                    <w:jc w:val="both"/>
                  </w:pPr>
                  <w:r>
                    <w:rPr>
                      <w:rFonts w:ascii="方正仿宋_gb2312" w:hAnsi="方正仿宋_gb2312" w:eastAsia="方正仿宋_gb2312" w:cs="方正仿宋_gb2312"/>
                      <w:sz w:val="24"/>
                    </w:rPr>
                    <w:t>支持智能U盘锁功能，可设置触摸及按键锁定，锁定后无法随意自由操作，需要使用时插入USB key可解锁。</w:t>
                  </w:r>
                </w:p>
                <w:p w14:paraId="3D8C9C58">
                  <w:pPr>
                    <w:pStyle w:val="4"/>
                    <w:numPr>
                      <w:ilvl w:val="0"/>
                      <w:numId w:val="1"/>
                    </w:numPr>
                    <w:jc w:val="both"/>
                  </w:pPr>
                  <w:r>
                    <w:rPr>
                      <w:rFonts w:ascii="方正仿宋_gb2312" w:hAnsi="方正仿宋_gb2312" w:eastAsia="方正仿宋_gb2312" w:cs="方正仿宋_gb2312"/>
                      <w:sz w:val="24"/>
                    </w:rPr>
                    <w:t>支持发出超声波信号，手机麦克风接收后无需在同一局域网内，可实现配对，一键投屏，无需手动输入投屏码或扫码。（签订合同时需提供具有CMA认证的第三方检测报告复印件并加盖供应商公章）</w:t>
                  </w:r>
                </w:p>
                <w:p w14:paraId="0B3A2968">
                  <w:pPr>
                    <w:pStyle w:val="4"/>
                    <w:numPr>
                      <w:ilvl w:val="0"/>
                      <w:numId w:val="1"/>
                    </w:numPr>
                    <w:jc w:val="both"/>
                  </w:pPr>
                  <w:r>
                    <w:rPr>
                      <w:rFonts w:ascii="方正仿宋_gb2312" w:hAnsi="方正仿宋_gb2312" w:eastAsia="方正仿宋_gb2312" w:cs="方正仿宋_gb2312"/>
                      <w:sz w:val="24"/>
                    </w:rPr>
                    <w:t>内置专业硬件自检维护工具（非第三方工具），支持对整机内部的板卡及部件模块进行故障检测、系统还原功能。</w:t>
                  </w:r>
                </w:p>
                <w:p w14:paraId="4D0093E9">
                  <w:pPr>
                    <w:pStyle w:val="4"/>
                    <w:numPr>
                      <w:ilvl w:val="0"/>
                      <w:numId w:val="1"/>
                    </w:numPr>
                    <w:jc w:val="both"/>
                  </w:pPr>
                  <w:r>
                    <w:rPr>
                      <w:rFonts w:ascii="方正仿宋_gb2312" w:hAnsi="方正仿宋_gb2312" w:eastAsia="方正仿宋_gb2312" w:cs="方正仿宋_gb2312"/>
                      <w:sz w:val="24"/>
                    </w:rPr>
                    <w:t>支持将设备屏幕降低为半屏幕状态，点击上半屏幕可以返回全屏状态。</w:t>
                  </w:r>
                </w:p>
                <w:p w14:paraId="16AD4787">
                  <w:pPr>
                    <w:pStyle w:val="4"/>
                    <w:numPr>
                      <w:ilvl w:val="0"/>
                      <w:numId w:val="1"/>
                    </w:numPr>
                    <w:jc w:val="both"/>
                  </w:pPr>
                  <w:r>
                    <w:rPr>
                      <w:rFonts w:ascii="方正仿宋_gb2312" w:hAnsi="方正仿宋_gb2312" w:eastAsia="方正仿宋_gb2312" w:cs="方正仿宋_gb2312"/>
                      <w:sz w:val="24"/>
                    </w:rPr>
                    <w:t>支持USB连接视频展台后，一键打开/关闭展台软件，在任意通道下均可实时查看视频展台连接状态，当连接/断开连接时，提供实时反馈提示，支持读取视频展台设备型号，对应显示设备实物图片。</w:t>
                  </w:r>
                </w:p>
                <w:p w14:paraId="1269FAB6">
                  <w:pPr>
                    <w:pStyle w:val="4"/>
                    <w:numPr>
                      <w:ilvl w:val="0"/>
                      <w:numId w:val="1"/>
                    </w:numPr>
                    <w:jc w:val="both"/>
                  </w:pPr>
                  <w:r>
                    <w:rPr>
                      <w:rFonts w:ascii="方正仿宋_gb2312" w:hAnsi="方正仿宋_gb2312" w:eastAsia="方正仿宋_gb2312" w:cs="方正仿宋_gb2312"/>
                      <w:sz w:val="24"/>
                    </w:rPr>
                    <w:t>支持将自定义图片、动画设置为开机画面。</w:t>
                  </w:r>
                </w:p>
                <w:p w14:paraId="679B0CF9">
                  <w:pPr>
                    <w:pStyle w:val="4"/>
                    <w:numPr>
                      <w:ilvl w:val="0"/>
                      <w:numId w:val="1"/>
                    </w:numPr>
                    <w:jc w:val="both"/>
                  </w:pPr>
                  <w:r>
                    <w:rPr>
                      <w:rFonts w:ascii="方正仿宋_gb2312" w:hAnsi="方正仿宋_gb2312" w:eastAsia="方正仿宋_gb2312" w:cs="方正仿宋_gb2312"/>
                      <w:sz w:val="24"/>
                    </w:rPr>
                    <w:t>具有≥14个前置按键，支持开关机、中控、音量、护眼、录屏、保存、笔切换、启动板书等，左右副屏按键具有≥2个自定义按键，可自定义为翻页、保存、分享、笔切换等，具有板书悬浮窗并支持保存、设置、收起、登录等。（签订合同时需提供具有CMA认证的第三方检测报告复印件并加盖供应商公章）</w:t>
                  </w:r>
                </w:p>
                <w:p w14:paraId="3BBC281E">
                  <w:pPr>
                    <w:pStyle w:val="4"/>
                    <w:jc w:val="both"/>
                  </w:pPr>
                  <w:r>
                    <w:rPr>
                      <w:rFonts w:ascii="方正仿宋_gb2312" w:hAnsi="方正仿宋_gb2312" w:eastAsia="方正仿宋_gb2312" w:cs="方正仿宋_gb2312"/>
                      <w:sz w:val="24"/>
                    </w:rPr>
                    <w:t>具备供电保护模块，能够检测内置电脑是否插好在位，在内置电脑未在位的情况下，内置电脑无法上电工作。</w:t>
                  </w:r>
                </w:p>
              </w:tc>
              <w:tc>
                <w:tcPr>
                  <w:tcW w:w="392" w:type="dxa"/>
                  <w:tcBorders>
                    <w:top w:val="nil"/>
                    <w:left w:val="nil"/>
                    <w:bottom w:val="single" w:color="000000" w:sz="4" w:space="0"/>
                    <w:right w:val="single" w:color="000000" w:sz="4" w:space="0"/>
                  </w:tcBorders>
                  <w:tcMar>
                    <w:top w:w="0" w:type="dxa"/>
                    <w:left w:w="0" w:type="dxa"/>
                    <w:bottom w:w="0" w:type="dxa"/>
                    <w:right w:w="0" w:type="dxa"/>
                  </w:tcMar>
                </w:tcPr>
                <w:p w14:paraId="6F188A2E">
                  <w:pPr>
                    <w:pStyle w:val="4"/>
                    <w:ind w:firstLine="420"/>
                    <w:jc w:val="center"/>
                  </w:pPr>
                  <w:r>
                    <w:rPr>
                      <w:rFonts w:ascii="方正仿宋_gb2312" w:hAnsi="方正仿宋_gb2312" w:eastAsia="方正仿宋_gb2312" w:cs="方正仿宋_gb2312"/>
                      <w:b/>
                      <w:color w:val="000000"/>
                      <w:sz w:val="28"/>
                      <w:shd w:val="clear" w:fill="FFFFFF"/>
                    </w:rPr>
                    <w:t>11套</w:t>
                  </w:r>
                </w:p>
              </w:tc>
              <w:tc>
                <w:tcPr>
                  <w:tcW w:w="482" w:type="dxa"/>
                  <w:tcBorders>
                    <w:top w:val="nil"/>
                    <w:left w:val="nil"/>
                    <w:bottom w:val="single" w:color="000000" w:sz="4" w:space="0"/>
                    <w:right w:val="single" w:color="000000" w:sz="4" w:space="0"/>
                  </w:tcBorders>
                  <w:tcMar>
                    <w:top w:w="0" w:type="dxa"/>
                    <w:left w:w="0" w:type="dxa"/>
                    <w:bottom w:w="0" w:type="dxa"/>
                    <w:right w:w="0" w:type="dxa"/>
                  </w:tcMar>
                </w:tcPr>
                <w:p w14:paraId="1C3892DF">
                  <w:pPr>
                    <w:pStyle w:val="4"/>
                    <w:jc w:val="center"/>
                  </w:pPr>
                  <w:r>
                    <w:rPr>
                      <w:rFonts w:ascii="方正仿宋_gb2312" w:hAnsi="方正仿宋_gb2312" w:eastAsia="方正仿宋_gb2312" w:cs="方正仿宋_gb2312"/>
                      <w:b/>
                      <w:color w:val="000000"/>
                      <w:sz w:val="24"/>
                      <w:shd w:val="clear" w:fill="FFFFFF"/>
                    </w:rPr>
                    <w:t>核心产品</w:t>
                  </w:r>
                </w:p>
              </w:tc>
            </w:tr>
            <w:tr w14:paraId="3436E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7E73F235">
                  <w:pPr>
                    <w:pStyle w:val="4"/>
                    <w:ind w:firstLine="420"/>
                    <w:jc w:val="center"/>
                  </w:pPr>
                  <w:r>
                    <w:rPr>
                      <w:rFonts w:ascii="方正仿宋_gb2312" w:hAnsi="方正仿宋_gb2312" w:eastAsia="方正仿宋_gb2312" w:cs="方正仿宋_gb2312"/>
                      <w:color w:val="000000"/>
                      <w:sz w:val="24"/>
                      <w:shd w:val="clear" w:fill="FFFFFF"/>
                    </w:rPr>
                    <w:t>2</w:t>
                  </w:r>
                </w:p>
              </w:tc>
              <w:tc>
                <w:tcPr>
                  <w:tcW w:w="706" w:type="dxa"/>
                  <w:tcBorders>
                    <w:top w:val="nil"/>
                    <w:left w:val="nil"/>
                    <w:bottom w:val="single" w:color="000000" w:sz="4" w:space="0"/>
                    <w:right w:val="single" w:color="000000" w:sz="4" w:space="0"/>
                  </w:tcBorders>
                  <w:tcMar>
                    <w:top w:w="0" w:type="dxa"/>
                    <w:left w:w="0" w:type="dxa"/>
                    <w:bottom w:w="0" w:type="dxa"/>
                    <w:right w:w="0" w:type="dxa"/>
                  </w:tcMar>
                </w:tcPr>
                <w:p w14:paraId="199ADAC0">
                  <w:pPr>
                    <w:pStyle w:val="4"/>
                    <w:jc w:val="center"/>
                  </w:pPr>
                  <w:r>
                    <w:rPr>
                      <w:rFonts w:ascii="方正仿宋_gb2312" w:hAnsi="方正仿宋_gb2312" w:eastAsia="方正仿宋_gb2312" w:cs="方正仿宋_gb2312"/>
                      <w:b/>
                      <w:color w:val="000000"/>
                      <w:sz w:val="24"/>
                      <w:shd w:val="clear" w:fill="FFFFFF"/>
                    </w:rPr>
                    <w:t>教学软件</w:t>
                  </w:r>
                </w:p>
              </w:tc>
              <w:tc>
                <w:tcPr>
                  <w:tcW w:w="1402" w:type="dxa"/>
                  <w:tcBorders>
                    <w:top w:val="nil"/>
                    <w:left w:val="nil"/>
                    <w:bottom w:val="single" w:color="000000" w:sz="4" w:space="0"/>
                    <w:right w:val="single" w:color="000000" w:sz="4" w:space="0"/>
                  </w:tcBorders>
                  <w:tcMar>
                    <w:top w:w="0" w:type="dxa"/>
                    <w:left w:w="0" w:type="dxa"/>
                    <w:bottom w:w="0" w:type="dxa"/>
                    <w:right w:w="0" w:type="dxa"/>
                  </w:tcMar>
                  <w:vAlign w:val="top"/>
                </w:tcPr>
                <w:p w14:paraId="4CDAEFD8">
                  <w:pPr>
                    <w:pStyle w:val="4"/>
                    <w:jc w:val="both"/>
                  </w:pPr>
                  <w:r>
                    <w:rPr>
                      <w:rFonts w:ascii="方正仿宋_gb2312" w:hAnsi="方正仿宋_gb2312" w:eastAsia="方正仿宋_gb2312" w:cs="方正仿宋_gb2312"/>
                      <w:sz w:val="24"/>
                    </w:rPr>
                    <w:t>（一）、整体要求</w:t>
                  </w:r>
                </w:p>
                <w:p w14:paraId="6397DBE9">
                  <w:pPr>
                    <w:pStyle w:val="4"/>
                    <w:numPr>
                      <w:ilvl w:val="0"/>
                      <w:numId w:val="1"/>
                    </w:numPr>
                    <w:jc w:val="both"/>
                  </w:pPr>
                  <w:r>
                    <w:rPr>
                      <w:rFonts w:ascii="方正仿宋_gb2312" w:hAnsi="方正仿宋_gb2312" w:eastAsia="方正仿宋_gb2312" w:cs="方正仿宋_gb2312"/>
                      <w:sz w:val="24"/>
                    </w:rPr>
                    <w:t>为使用教师提供个人账号和云空间（可拓展至100TB容量），可根据教师账号将教师匹配至对应学校，云空间匹配至校本资源库，支持账号密码、微信二维码、硬件密钥方式登录教师账号。</w:t>
                  </w:r>
                </w:p>
                <w:p w14:paraId="1E7C9655">
                  <w:pPr>
                    <w:pStyle w:val="4"/>
                    <w:numPr>
                      <w:ilvl w:val="0"/>
                      <w:numId w:val="1"/>
                    </w:numPr>
                    <w:jc w:val="both"/>
                  </w:pPr>
                  <w:r>
                    <w:rPr>
                      <w:rFonts w:ascii="方正仿宋_gb2312" w:hAnsi="方正仿宋_gb2312" w:eastAsia="方正仿宋_gb2312" w:cs="方正仿宋_gb2312"/>
                      <w:sz w:val="24"/>
                    </w:rPr>
                    <w:t>云空间支持上传文档、图片、音视频，并支持文件夹分级分层。</w:t>
                  </w:r>
                </w:p>
                <w:p w14:paraId="2F7254C7">
                  <w:pPr>
                    <w:pStyle w:val="4"/>
                    <w:numPr>
                      <w:ilvl w:val="0"/>
                      <w:numId w:val="1"/>
                    </w:numPr>
                    <w:jc w:val="both"/>
                  </w:pPr>
                  <w:r>
                    <w:rPr>
                      <w:rFonts w:ascii="方正仿宋_gb2312" w:hAnsi="方正仿宋_gb2312" w:eastAsia="方正仿宋_gb2312" w:cs="方正仿宋_gb2312"/>
                      <w:sz w:val="24"/>
                    </w:rPr>
                    <w:t>互动课件支持云分享，可通过链接或二维码形式进行分享，支持进行加密，可设置访问有效期，同时支持定向分享至指定账号。</w:t>
                  </w:r>
                </w:p>
                <w:p w14:paraId="1A866788">
                  <w:pPr>
                    <w:pStyle w:val="4"/>
                    <w:numPr>
                      <w:ilvl w:val="0"/>
                      <w:numId w:val="1"/>
                    </w:numPr>
                    <w:jc w:val="both"/>
                  </w:pPr>
                  <w:r>
                    <w:rPr>
                      <w:rFonts w:ascii="方正仿宋_gb2312" w:hAnsi="方正仿宋_gb2312" w:eastAsia="方正仿宋_gb2312" w:cs="方正仿宋_gb2312"/>
                      <w:sz w:val="24"/>
                    </w:rPr>
                    <w:t>支持PPT课件和互动课件相互转化，可将pptx导入互动教学软件并支持原文件中的文字、图片、表格等对象及动画的可编辑，支持单份导入和批量导入；互动课件可到处为pptx、pdf、H5等格式。</w:t>
                  </w:r>
                </w:p>
                <w:p w14:paraId="41CDBC9B">
                  <w:pPr>
                    <w:pStyle w:val="4"/>
                    <w:numPr>
                      <w:ilvl w:val="0"/>
                      <w:numId w:val="1"/>
                    </w:numPr>
                    <w:jc w:val="both"/>
                  </w:pPr>
                  <w:r>
                    <w:rPr>
                      <w:rFonts w:ascii="方正仿宋_gb2312" w:hAnsi="方正仿宋_gb2312" w:eastAsia="方正仿宋_gb2312" w:cs="方正仿宋_gb2312"/>
                      <w:sz w:val="24"/>
                    </w:rPr>
                    <w:t>互动教学软件内置胶囊式微课功能，可快速录制微课，支持录制和保存音频及课件的互动功能。</w:t>
                  </w:r>
                </w:p>
                <w:p w14:paraId="72CAA6BD">
                  <w:pPr>
                    <w:pStyle w:val="4"/>
                    <w:numPr>
                      <w:ilvl w:val="0"/>
                      <w:numId w:val="1"/>
                    </w:numPr>
                    <w:jc w:val="both"/>
                  </w:pPr>
                  <w:r>
                    <w:rPr>
                      <w:rFonts w:ascii="方正仿宋_gb2312" w:hAnsi="方正仿宋_gb2312" w:eastAsia="方正仿宋_gb2312" w:cs="方正仿宋_gb2312"/>
                      <w:sz w:val="24"/>
                    </w:rPr>
                    <w:t>备授课一体化，教师可根据场景自由切换备课模式和授课模式，适用于办公室备课和教师上课，软件支持自动识别场景推荐备授课模式。</w:t>
                  </w:r>
                </w:p>
                <w:p w14:paraId="5AE951C4">
                  <w:pPr>
                    <w:pStyle w:val="4"/>
                    <w:numPr>
                      <w:ilvl w:val="0"/>
                      <w:numId w:val="1"/>
                    </w:numPr>
                    <w:jc w:val="both"/>
                  </w:pPr>
                  <w:r>
                    <w:rPr>
                      <w:rFonts w:ascii="方正仿宋_gb2312" w:hAnsi="方正仿宋_gb2312" w:eastAsia="方正仿宋_gb2312" w:cs="方正仿宋_gb2312"/>
                      <w:sz w:val="24"/>
                    </w:rPr>
                    <w:t>可查看远程接入研讨的成员网络状态，支持共享远程白板或电脑桌面，可调用主讲人云课件库，课件内具有学科工具（包含语文、数学、英语、美术、音乐等学科）和在线视频资源，支持拍照上传、截屏插入、答题器、直播分享等功能，支持开启美颜效果，可调节美颜项目≥6个。（提供软件功能截图）</w:t>
                  </w:r>
                </w:p>
                <w:p w14:paraId="018903B2">
                  <w:pPr>
                    <w:pStyle w:val="4"/>
                    <w:jc w:val="both"/>
                  </w:pPr>
                  <w:r>
                    <w:rPr>
                      <w:rFonts w:ascii="方正仿宋_gb2312" w:hAnsi="方正仿宋_gb2312" w:eastAsia="方正仿宋_gb2312" w:cs="方正仿宋_gb2312"/>
                      <w:sz w:val="24"/>
                    </w:rPr>
                    <w:t>（二）、教学资源</w:t>
                  </w:r>
                </w:p>
                <w:p w14:paraId="5FE57F35">
                  <w:pPr>
                    <w:pStyle w:val="4"/>
                    <w:numPr>
                      <w:ilvl w:val="0"/>
                      <w:numId w:val="1"/>
                    </w:numPr>
                    <w:jc w:val="both"/>
                  </w:pPr>
                  <w:r>
                    <w:rPr>
                      <w:rFonts w:ascii="方正仿宋_gb2312" w:hAnsi="方正仿宋_gb2312" w:eastAsia="方正仿宋_gb2312" w:cs="方正仿宋_gb2312"/>
                      <w:sz w:val="24"/>
                    </w:rPr>
                    <w:t>提供互动教学课件：教材版本≥120个，课件数量≥15万份，可按章节、主题、关键词搜索，支持模糊搜索，课件支持预览和下载。</w:t>
                  </w:r>
                </w:p>
                <w:p w14:paraId="67074287">
                  <w:pPr>
                    <w:pStyle w:val="4"/>
                    <w:numPr>
                      <w:ilvl w:val="0"/>
                      <w:numId w:val="1"/>
                    </w:numPr>
                    <w:jc w:val="both"/>
                  </w:pPr>
                  <w:r>
                    <w:rPr>
                      <w:rFonts w:ascii="方正仿宋_gb2312" w:hAnsi="方正仿宋_gb2312" w:eastAsia="方正仿宋_gb2312" w:cs="方正仿宋_gb2312"/>
                      <w:sz w:val="24"/>
                    </w:rPr>
                    <w:t>内置简约、科技、古风等不同类型主题模板可用，支持教师自定义课件背景。</w:t>
                  </w:r>
                </w:p>
                <w:p w14:paraId="3B925B87">
                  <w:pPr>
                    <w:pStyle w:val="4"/>
                    <w:numPr>
                      <w:ilvl w:val="0"/>
                      <w:numId w:val="1"/>
                    </w:numPr>
                    <w:jc w:val="both"/>
                  </w:pPr>
                  <w:r>
                    <w:rPr>
                      <w:rFonts w:ascii="方正仿宋_gb2312" w:hAnsi="方正仿宋_gb2312" w:eastAsia="方正仿宋_gb2312" w:cs="方正仿宋_gb2312"/>
                      <w:sz w:val="24"/>
                    </w:rPr>
                    <w:t>语文提供古诗词、汉字、拼音等教学资源和工具：古诗词包括原文、翻译、作者介绍及朗诵音频等内容；汉字支持田字格手写，可展示汉字部首、读音、笔画顺序、笔画数等内容；拼音支持四线三格自由输入，可选择声调和点读。</w:t>
                  </w:r>
                </w:p>
                <w:p w14:paraId="7F595885">
                  <w:pPr>
                    <w:pStyle w:val="4"/>
                    <w:numPr>
                      <w:ilvl w:val="0"/>
                      <w:numId w:val="1"/>
                    </w:numPr>
                    <w:jc w:val="both"/>
                  </w:pPr>
                  <w:r>
                    <w:rPr>
                      <w:rFonts w:ascii="方正仿宋_gb2312" w:hAnsi="方正仿宋_gb2312" w:eastAsia="方正仿宋_gb2312" w:cs="方正仿宋_gb2312"/>
                      <w:sz w:val="24"/>
                    </w:rPr>
                    <w:t>数学提供函数公式、函数图像、几何工具等资源和工具：函数公式可输入方程组，提供常用数学公式；函数图像支持一次函数、二次函数、幂函数、指数函数、三角函数等图像，支持自定义输入函数表达式生成图像，可同时绘制多个函数表达式；几何工具可绘制平面几何和立体几何，支持选色涂色功能。</w:t>
                  </w:r>
                </w:p>
                <w:p w14:paraId="55DAA2ED">
                  <w:pPr>
                    <w:pStyle w:val="4"/>
                    <w:numPr>
                      <w:ilvl w:val="0"/>
                      <w:numId w:val="1"/>
                    </w:numPr>
                    <w:jc w:val="both"/>
                  </w:pPr>
                  <w:r>
                    <w:rPr>
                      <w:rFonts w:ascii="方正仿宋_gb2312" w:hAnsi="方正仿宋_gb2312" w:eastAsia="方正仿宋_gb2312" w:cs="方正仿宋_gb2312"/>
                      <w:sz w:val="24"/>
                    </w:rPr>
                    <w:t>英语提供字典、音标、听写等资源和工具：字典提供释义、读音、词组、例句等内容；音标可发音，支持将字母、单词、句子转写为音标。</w:t>
                  </w:r>
                </w:p>
                <w:p w14:paraId="019DBFD2">
                  <w:pPr>
                    <w:pStyle w:val="4"/>
                    <w:numPr>
                      <w:ilvl w:val="0"/>
                      <w:numId w:val="1"/>
                    </w:numPr>
                    <w:jc w:val="both"/>
                  </w:pPr>
                  <w:r>
                    <w:rPr>
                      <w:rFonts w:ascii="方正仿宋_gb2312" w:hAnsi="方正仿宋_gb2312" w:eastAsia="方正仿宋_gb2312" w:cs="方正仿宋_gb2312"/>
                      <w:sz w:val="24"/>
                    </w:rPr>
                    <w:t>具有党建微课视频≥100节，包括革命篇、建设篇、改革篇、复兴篇，可在线点播或下载至课件播放，支持一键对视频截图插入课件。</w:t>
                  </w:r>
                </w:p>
                <w:p w14:paraId="47269D46">
                  <w:pPr>
                    <w:pStyle w:val="4"/>
                    <w:jc w:val="both"/>
                  </w:pPr>
                  <w:r>
                    <w:rPr>
                      <w:rFonts w:ascii="方正仿宋_gb2312" w:hAnsi="方正仿宋_gb2312" w:eastAsia="方正仿宋_gb2312" w:cs="方正仿宋_gb2312"/>
                      <w:sz w:val="24"/>
                    </w:rPr>
                    <w:t>（三）、备授课工具</w:t>
                  </w:r>
                </w:p>
                <w:p w14:paraId="683BE44B">
                  <w:pPr>
                    <w:pStyle w:val="4"/>
                    <w:numPr>
                      <w:ilvl w:val="0"/>
                      <w:numId w:val="1"/>
                    </w:numPr>
                    <w:jc w:val="both"/>
                  </w:pPr>
                  <w:r>
                    <w:rPr>
                      <w:rFonts w:ascii="方正仿宋_gb2312" w:hAnsi="方正仿宋_gb2312" w:eastAsia="方正仿宋_gb2312" w:cs="方正仿宋_gb2312"/>
                      <w:sz w:val="24"/>
                    </w:rPr>
                    <w:t>文本：可插入文本框，支持设置字体、字号、颜色、加粗、倾斜、下划线、上下角标等，支持段落样式设置对齐、缩进、行高等，提供艺术字效果。</w:t>
                  </w:r>
                </w:p>
                <w:p w14:paraId="0B17EBB7">
                  <w:pPr>
                    <w:pStyle w:val="4"/>
                    <w:numPr>
                      <w:ilvl w:val="0"/>
                      <w:numId w:val="1"/>
                    </w:numPr>
                    <w:jc w:val="both"/>
                  </w:pPr>
                  <w:r>
                    <w:rPr>
                      <w:rFonts w:ascii="方正仿宋_gb2312" w:hAnsi="方正仿宋_gb2312" w:eastAsia="方正仿宋_gb2312" w:cs="方正仿宋_gb2312"/>
                      <w:sz w:val="24"/>
                    </w:rPr>
                    <w:t>图片：内置图片处理功能，可对课件内的图片进行快速抠图，处理后边缘无明显毛边，处理后的图片可直接上传至教师云空间供后续复用。</w:t>
                  </w:r>
                </w:p>
                <w:p w14:paraId="136B065C">
                  <w:pPr>
                    <w:pStyle w:val="4"/>
                    <w:numPr>
                      <w:ilvl w:val="0"/>
                      <w:numId w:val="1"/>
                    </w:numPr>
                    <w:jc w:val="both"/>
                  </w:pPr>
                  <w:r>
                    <w:rPr>
                      <w:rFonts w:ascii="方正仿宋_gb2312" w:hAnsi="方正仿宋_gb2312" w:eastAsia="方正仿宋_gb2312" w:cs="方正仿宋_gb2312"/>
                      <w:sz w:val="24"/>
                    </w:rPr>
                    <w:t>蒙层：可一键将课件内文本、图片、形状等对象添加蒙层隐藏效果，授课模式下可通过擦除蒙层展现隐藏内容。</w:t>
                  </w:r>
                </w:p>
                <w:p w14:paraId="1D93D043">
                  <w:pPr>
                    <w:pStyle w:val="4"/>
                    <w:numPr>
                      <w:ilvl w:val="0"/>
                      <w:numId w:val="1"/>
                    </w:numPr>
                    <w:jc w:val="both"/>
                  </w:pPr>
                  <w:r>
                    <w:rPr>
                      <w:rFonts w:ascii="方正仿宋_gb2312" w:hAnsi="方正仿宋_gb2312" w:eastAsia="方正仿宋_gb2312" w:cs="方正仿宋_gb2312"/>
                      <w:sz w:val="24"/>
                    </w:rPr>
                    <w:t>备注：提供页面备注功能，可一键展开/隐藏备注.</w:t>
                  </w:r>
                </w:p>
                <w:p w14:paraId="27922C3A">
                  <w:pPr>
                    <w:pStyle w:val="4"/>
                    <w:numPr>
                      <w:ilvl w:val="0"/>
                      <w:numId w:val="1"/>
                    </w:numPr>
                    <w:jc w:val="both"/>
                  </w:pPr>
                  <w:r>
                    <w:rPr>
                      <w:rFonts w:ascii="方正仿宋_gb2312" w:hAnsi="方正仿宋_gb2312" w:eastAsia="方正仿宋_gb2312" w:cs="方正仿宋_gb2312"/>
                      <w:sz w:val="24"/>
                    </w:rPr>
                    <w:t>动画：支持文本、形状、图片等内容的触发动画，可对动画的设置触发条件、动画声效、动画时长、动画延迟和动画方向进行自定义设置。</w:t>
                  </w:r>
                </w:p>
                <w:p w14:paraId="0626A11D">
                  <w:pPr>
                    <w:pStyle w:val="4"/>
                    <w:numPr>
                      <w:ilvl w:val="0"/>
                      <w:numId w:val="1"/>
                    </w:numPr>
                    <w:jc w:val="both"/>
                  </w:pPr>
                  <w:r>
                    <w:rPr>
                      <w:rFonts w:ascii="方正仿宋_gb2312" w:hAnsi="方正仿宋_gb2312" w:eastAsia="方正仿宋_gb2312" w:cs="方正仿宋_gb2312"/>
                      <w:sz w:val="24"/>
                    </w:rPr>
                    <w:t>表格：可自由插入表格，支持边框、底纹设置，可自由合并单元格。</w:t>
                  </w:r>
                </w:p>
                <w:p w14:paraId="671EEA24">
                  <w:pPr>
                    <w:pStyle w:val="4"/>
                    <w:numPr>
                      <w:ilvl w:val="0"/>
                      <w:numId w:val="1"/>
                    </w:numPr>
                    <w:jc w:val="both"/>
                  </w:pPr>
                  <w:r>
                    <w:rPr>
                      <w:rFonts w:ascii="方正仿宋_gb2312" w:hAnsi="方正仿宋_gb2312" w:eastAsia="方正仿宋_gb2312" w:cs="方正仿宋_gb2312"/>
                      <w:sz w:val="24"/>
                    </w:rPr>
                    <w:t>思维导图：提供预设模板，可自由增删或拖拽编辑节点，并支持在节点上插入图片、音频、视频、网页链接、课件页面等内容，便于建构知识结构。</w:t>
                  </w:r>
                </w:p>
                <w:p w14:paraId="2F195155">
                  <w:pPr>
                    <w:pStyle w:val="4"/>
                    <w:numPr>
                      <w:ilvl w:val="0"/>
                      <w:numId w:val="1"/>
                    </w:numPr>
                    <w:jc w:val="both"/>
                  </w:pPr>
                  <w:r>
                    <w:rPr>
                      <w:rFonts w:ascii="方正仿宋_gb2312" w:hAnsi="方正仿宋_gb2312" w:eastAsia="方正仿宋_gb2312" w:cs="方正仿宋_gb2312"/>
                      <w:sz w:val="24"/>
                    </w:rPr>
                    <w:t>图表：提供柱状图、扇形图、折线图等图表，支持图表文字、背景、透明度设置，柱状图、折线图可一键转置互换坐标轴类别，支持三维模式旋转展示。</w:t>
                  </w:r>
                </w:p>
                <w:p w14:paraId="107DED33">
                  <w:pPr>
                    <w:pStyle w:val="4"/>
                    <w:jc w:val="both"/>
                  </w:pPr>
                  <w:r>
                    <w:rPr>
                      <w:rFonts w:ascii="方正仿宋_gb2312" w:hAnsi="方正仿宋_gb2312" w:eastAsia="方正仿宋_gb2312" w:cs="方正仿宋_gb2312"/>
                      <w:sz w:val="24"/>
                    </w:rPr>
                    <w:t>（四）、教研模块</w:t>
                  </w:r>
                </w:p>
                <w:p w14:paraId="1E158840">
                  <w:pPr>
                    <w:pStyle w:val="4"/>
                    <w:numPr>
                      <w:ilvl w:val="0"/>
                      <w:numId w:val="1"/>
                    </w:numPr>
                    <w:jc w:val="both"/>
                  </w:pPr>
                  <w:r>
                    <w:rPr>
                      <w:rFonts w:ascii="方正仿宋_gb2312" w:hAnsi="方正仿宋_gb2312" w:eastAsia="方正仿宋_gb2312" w:cs="方正仿宋_gb2312"/>
                      <w:sz w:val="24"/>
                    </w:rPr>
                    <w:t>具有校本资源库，资源包括课件、教案、习题、音视频多媒体文件等内容，支持进行上传、搜索、下载、查看、预览等功能。</w:t>
                  </w:r>
                </w:p>
                <w:p w14:paraId="71523BA5">
                  <w:pPr>
                    <w:pStyle w:val="4"/>
                    <w:numPr>
                      <w:ilvl w:val="0"/>
                      <w:numId w:val="1"/>
                    </w:numPr>
                    <w:jc w:val="both"/>
                  </w:pPr>
                  <w:r>
                    <w:rPr>
                      <w:rFonts w:ascii="方正仿宋_gb2312" w:hAnsi="方正仿宋_gb2312" w:eastAsia="方正仿宋_gb2312" w:cs="方正仿宋_gb2312"/>
                      <w:sz w:val="24"/>
                    </w:rPr>
                    <w:t>支持电子听评课，可发起授课评价，查看评课记录，导出评课报告和听课记录，支持通过直播听评课和AI课堂数据分析。</w:t>
                  </w:r>
                </w:p>
                <w:p w14:paraId="09B54149">
                  <w:pPr>
                    <w:pStyle w:val="4"/>
                    <w:numPr>
                      <w:ilvl w:val="0"/>
                      <w:numId w:val="1"/>
                    </w:numPr>
                    <w:jc w:val="both"/>
                  </w:pPr>
                  <w:r>
                    <w:rPr>
                      <w:rFonts w:ascii="方正仿宋_gb2312" w:hAnsi="方正仿宋_gb2312" w:eastAsia="方正仿宋_gb2312" w:cs="方正仿宋_gb2312"/>
                      <w:sz w:val="24"/>
                    </w:rPr>
                    <w:t>支持在手机和PC端选择教案、课件、胶囊资源上传发起集备研讨，支持多重访问权限，通过手机号搜索即可邀请外校老师。</w:t>
                  </w:r>
                </w:p>
                <w:p w14:paraId="08CE4961">
                  <w:pPr>
                    <w:pStyle w:val="4"/>
                    <w:numPr>
                      <w:ilvl w:val="0"/>
                      <w:numId w:val="1"/>
                    </w:numPr>
                    <w:jc w:val="both"/>
                  </w:pPr>
                  <w:r>
                    <w:rPr>
                      <w:rFonts w:ascii="方正仿宋_gb2312" w:hAnsi="方正仿宋_gb2312" w:eastAsia="方正仿宋_gb2312" w:cs="方正仿宋_gb2312"/>
                      <w:sz w:val="24"/>
                    </w:rPr>
                    <w:t>参备老师可在线对教案进行随文式批注，追加批注，回复以及查看实时批注消息，可对集备中的多稿课件、教案、胶囊进行内容横向对比。</w:t>
                  </w:r>
                </w:p>
                <w:p w14:paraId="618FA836">
                  <w:pPr>
                    <w:pStyle w:val="4"/>
                    <w:jc w:val="both"/>
                  </w:pPr>
                  <w:r>
                    <w:rPr>
                      <w:rFonts w:ascii="方正仿宋_gb2312" w:hAnsi="方正仿宋_gb2312" w:eastAsia="方正仿宋_gb2312" w:cs="方正仿宋_gb2312"/>
                      <w:sz w:val="24"/>
                    </w:rPr>
                    <w:t>支持创建教研组，添加备课组成员，可实现备课资源共享，搜索、获取备课资源，参与研讨和回顾集体备课研讨内容。</w:t>
                  </w:r>
                </w:p>
                <w:p w14:paraId="4984B41D">
                  <w:pPr>
                    <w:pStyle w:val="4"/>
                    <w:jc w:val="both"/>
                  </w:pPr>
                  <w:r>
                    <w:rPr>
                      <w:rFonts w:ascii="方正仿宋_gb2312" w:hAnsi="方正仿宋_gb2312" w:eastAsia="方正仿宋_gb2312" w:cs="方正仿宋_gb2312"/>
                      <w:sz w:val="24"/>
                    </w:rPr>
                    <w:t>5.支持共享远程白板或电脑桌面，可调用主讲人云课件库，课件内具有学科工具（包含语文、数学、英语、美术、音乐等学科）和在线视频资源，支持拍照上传、截屏插入、答题器、直播分享等功能，支持开启美颜效果，可调节美颜项目≥6个。（提供软件功能截图）</w:t>
                  </w:r>
                </w:p>
              </w:tc>
              <w:tc>
                <w:tcPr>
                  <w:tcW w:w="392" w:type="dxa"/>
                  <w:tcBorders>
                    <w:top w:val="nil"/>
                    <w:left w:val="nil"/>
                    <w:bottom w:val="single" w:color="000000" w:sz="4" w:space="0"/>
                    <w:right w:val="single" w:color="000000" w:sz="4" w:space="0"/>
                  </w:tcBorders>
                  <w:tcMar>
                    <w:top w:w="0" w:type="dxa"/>
                    <w:left w:w="0" w:type="dxa"/>
                    <w:bottom w:w="0" w:type="dxa"/>
                    <w:right w:w="0" w:type="dxa"/>
                  </w:tcMar>
                </w:tcPr>
                <w:p w14:paraId="1EAB4D5C">
                  <w:pPr>
                    <w:pStyle w:val="4"/>
                    <w:ind w:firstLine="420"/>
                    <w:jc w:val="center"/>
                  </w:pPr>
                  <w:r>
                    <w:rPr>
                      <w:rFonts w:ascii="方正仿宋_gb2312" w:hAnsi="方正仿宋_gb2312" w:eastAsia="方正仿宋_gb2312" w:cs="方正仿宋_gb2312"/>
                      <w:b/>
                      <w:color w:val="000000"/>
                      <w:sz w:val="28"/>
                      <w:shd w:val="clear" w:fill="FFFFFF"/>
                    </w:rPr>
                    <w:t>11套</w:t>
                  </w:r>
                </w:p>
              </w:tc>
              <w:tc>
                <w:tcPr>
                  <w:tcW w:w="482" w:type="dxa"/>
                  <w:tcBorders>
                    <w:top w:val="nil"/>
                    <w:left w:val="nil"/>
                    <w:bottom w:val="single" w:color="000000" w:sz="4" w:space="0"/>
                    <w:right w:val="single" w:color="000000" w:sz="4" w:space="0"/>
                  </w:tcBorders>
                  <w:tcMar>
                    <w:top w:w="0" w:type="dxa"/>
                    <w:left w:w="0" w:type="dxa"/>
                    <w:bottom w:w="0" w:type="dxa"/>
                    <w:right w:w="0" w:type="dxa"/>
                  </w:tcMar>
                </w:tcPr>
                <w:p w14:paraId="217C094E">
                  <w:pPr>
                    <w:pStyle w:val="4"/>
                    <w:ind w:firstLine="420"/>
                    <w:jc w:val="center"/>
                  </w:pPr>
                </w:p>
              </w:tc>
            </w:tr>
            <w:tr w14:paraId="2FF27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041F2E8B">
                  <w:pPr>
                    <w:pStyle w:val="4"/>
                    <w:jc w:val="center"/>
                  </w:pPr>
                  <w:r>
                    <w:rPr>
                      <w:rFonts w:ascii="方正仿宋_gb2312" w:hAnsi="方正仿宋_gb2312" w:eastAsia="方正仿宋_gb2312" w:cs="方正仿宋_gb2312"/>
                      <w:color w:val="000000"/>
                      <w:sz w:val="24"/>
                      <w:shd w:val="clear" w:fill="FFFFFF"/>
                    </w:rPr>
                    <w:t>3</w:t>
                  </w:r>
                </w:p>
              </w:tc>
              <w:tc>
                <w:tcPr>
                  <w:tcW w:w="706" w:type="dxa"/>
                  <w:tcBorders>
                    <w:top w:val="nil"/>
                    <w:left w:val="nil"/>
                    <w:bottom w:val="single" w:color="000000" w:sz="4" w:space="0"/>
                    <w:right w:val="single" w:color="000000" w:sz="4" w:space="0"/>
                  </w:tcBorders>
                  <w:tcMar>
                    <w:top w:w="0" w:type="dxa"/>
                    <w:left w:w="0" w:type="dxa"/>
                    <w:bottom w:w="0" w:type="dxa"/>
                    <w:right w:w="0" w:type="dxa"/>
                  </w:tcMar>
                </w:tcPr>
                <w:p w14:paraId="43AF503F">
                  <w:pPr>
                    <w:pStyle w:val="4"/>
                    <w:jc w:val="center"/>
                  </w:pPr>
                  <w:r>
                    <w:rPr>
                      <w:rFonts w:ascii="方正仿宋_gb2312" w:hAnsi="方正仿宋_gb2312" w:eastAsia="方正仿宋_gb2312" w:cs="方正仿宋_gb2312"/>
                      <w:b/>
                      <w:sz w:val="24"/>
                    </w:rPr>
                    <w:t>集中控制管理系统</w:t>
                  </w:r>
                </w:p>
              </w:tc>
              <w:tc>
                <w:tcPr>
                  <w:tcW w:w="1402" w:type="dxa"/>
                  <w:tcBorders>
                    <w:top w:val="nil"/>
                    <w:left w:val="nil"/>
                    <w:bottom w:val="single" w:color="000000" w:sz="4" w:space="0"/>
                    <w:right w:val="single" w:color="000000" w:sz="4" w:space="0"/>
                  </w:tcBorders>
                  <w:tcMar>
                    <w:top w:w="0" w:type="dxa"/>
                    <w:left w:w="0" w:type="dxa"/>
                    <w:bottom w:w="0" w:type="dxa"/>
                    <w:right w:w="0" w:type="dxa"/>
                  </w:tcMar>
                  <w:vAlign w:val="top"/>
                </w:tcPr>
                <w:p w14:paraId="49169DCA">
                  <w:pPr>
                    <w:pStyle w:val="4"/>
                    <w:jc w:val="both"/>
                  </w:pPr>
                  <w:r>
                    <w:rPr>
                      <w:rFonts w:ascii="方正仿宋_gb2312" w:hAnsi="方正仿宋_gb2312" w:eastAsia="方正仿宋_gb2312" w:cs="方正仿宋_gb2312"/>
                      <w:sz w:val="24"/>
                    </w:rPr>
                    <w:t>（一）、整体设计</w:t>
                  </w:r>
                </w:p>
                <w:p w14:paraId="36DD606B">
                  <w:pPr>
                    <w:pStyle w:val="4"/>
                    <w:numPr>
                      <w:ilvl w:val="0"/>
                      <w:numId w:val="1"/>
                    </w:numPr>
                    <w:jc w:val="both"/>
                  </w:pPr>
                  <w:r>
                    <w:rPr>
                      <w:rFonts w:ascii="方正仿宋_gb2312" w:hAnsi="方正仿宋_gb2312" w:eastAsia="方正仿宋_gb2312" w:cs="方正仿宋_gb2312"/>
                      <w:sz w:val="24"/>
                    </w:rPr>
                    <w:t>后台控制端采用B/S架构设计，可在Windows、Linux、Android、IOS等多种不同的操作系统上通过网页浏览器登陆进行操作，可控制在局域网或互联网内的班班通终端设备。</w:t>
                  </w:r>
                </w:p>
                <w:p w14:paraId="1D284762">
                  <w:pPr>
                    <w:pStyle w:val="4"/>
                    <w:numPr>
                      <w:ilvl w:val="0"/>
                      <w:numId w:val="1"/>
                    </w:numPr>
                    <w:jc w:val="both"/>
                  </w:pPr>
                  <w:r>
                    <w:rPr>
                      <w:rFonts w:ascii="方正仿宋_gb2312" w:hAnsi="方正仿宋_gb2312" w:eastAsia="方正仿宋_gb2312" w:cs="方正仿宋_gb2312"/>
                      <w:sz w:val="24"/>
                    </w:rPr>
                    <w:t>使用校园集控系统的每个学校/区域拥有专属代码，该学校/区域的一体机设备只需接入互联网，并在受控端输入该代码进行连接，管理员即可在后台对设备进行远程管理。</w:t>
                  </w:r>
                </w:p>
                <w:p w14:paraId="2995974F">
                  <w:pPr>
                    <w:pStyle w:val="4"/>
                    <w:numPr>
                      <w:ilvl w:val="0"/>
                      <w:numId w:val="1"/>
                    </w:numPr>
                    <w:jc w:val="both"/>
                  </w:pPr>
                  <w:r>
                    <w:rPr>
                      <w:rFonts w:ascii="方正仿宋_gb2312" w:hAnsi="方正仿宋_gb2312" w:eastAsia="方正仿宋_gb2312" w:cs="方正仿宋_gb2312"/>
                      <w:sz w:val="24"/>
                    </w:rPr>
                    <w:t>支持在单台设备关联学校代码后，自动发现并关联同网段下其他设备。</w:t>
                  </w:r>
                </w:p>
                <w:p w14:paraId="47536F46">
                  <w:pPr>
                    <w:pStyle w:val="4"/>
                    <w:jc w:val="both"/>
                  </w:pPr>
                  <w:r>
                    <w:rPr>
                      <w:rFonts w:ascii="方正仿宋_gb2312" w:hAnsi="方正仿宋_gb2312" w:eastAsia="方正仿宋_gb2312" w:cs="方正仿宋_gb2312"/>
                      <w:sz w:val="24"/>
                    </w:rPr>
                    <w:t>（二）、管理功能要求</w:t>
                  </w:r>
                </w:p>
                <w:p w14:paraId="5B4642CC">
                  <w:pPr>
                    <w:pStyle w:val="4"/>
                    <w:numPr>
                      <w:ilvl w:val="0"/>
                      <w:numId w:val="1"/>
                    </w:numPr>
                    <w:jc w:val="both"/>
                  </w:pPr>
                  <w:r>
                    <w:rPr>
                      <w:rFonts w:ascii="方正仿宋_gb2312" w:hAnsi="方正仿宋_gb2312" w:eastAsia="方正仿宋_gb2312" w:cs="方正仿宋_gb2312"/>
                      <w:sz w:val="24"/>
                    </w:rPr>
                    <w:t>基本信息：可在设备桌面查看班班通设备尺寸、分辨率、系统、CPU、安卓版本等信息，支持按照设备安装的年级、班级，设置教室受控端的名称，方便管理员对应管理。</w:t>
                  </w:r>
                </w:p>
                <w:p w14:paraId="1EF37884">
                  <w:pPr>
                    <w:pStyle w:val="4"/>
                    <w:numPr>
                      <w:ilvl w:val="0"/>
                      <w:numId w:val="1"/>
                    </w:numPr>
                    <w:jc w:val="both"/>
                  </w:pPr>
                  <w:r>
                    <w:rPr>
                      <w:rFonts w:ascii="方正仿宋_gb2312" w:hAnsi="方正仿宋_gb2312" w:eastAsia="方正仿宋_gb2312" w:cs="方正仿宋_gb2312"/>
                      <w:sz w:val="24"/>
                    </w:rPr>
                    <w:t>远程监控：在控制端网页可实时监控已连接的设备，可远程查看开关机状态、使用状态评估、整机温度、以及系统内存、硬盘空间等设备信息。</w:t>
                  </w:r>
                </w:p>
                <w:p w14:paraId="5B9FFE66">
                  <w:pPr>
                    <w:pStyle w:val="4"/>
                    <w:numPr>
                      <w:ilvl w:val="0"/>
                      <w:numId w:val="1"/>
                    </w:numPr>
                    <w:jc w:val="both"/>
                  </w:pPr>
                  <w:r>
                    <w:rPr>
                      <w:rFonts w:ascii="方正仿宋_gb2312" w:hAnsi="方正仿宋_gb2312" w:eastAsia="方正仿宋_gb2312" w:cs="方正仿宋_gb2312"/>
                      <w:sz w:val="24"/>
                    </w:rPr>
                    <w:t>远程控制：在控制端网页可对已连接的设备进行实时控制，包括开关机、切换通道、更改图像及声音模式、定时段锁屏等功能。</w:t>
                  </w:r>
                </w:p>
                <w:p w14:paraId="3E3623A6">
                  <w:pPr>
                    <w:pStyle w:val="4"/>
                    <w:numPr>
                      <w:ilvl w:val="0"/>
                      <w:numId w:val="1"/>
                    </w:numPr>
                    <w:jc w:val="both"/>
                  </w:pPr>
                  <w:r>
                    <w:rPr>
                      <w:rFonts w:ascii="方正仿宋_gb2312" w:hAnsi="方正仿宋_gb2312" w:eastAsia="方正仿宋_gb2312" w:cs="方正仿宋_gb2312"/>
                      <w:sz w:val="24"/>
                    </w:rPr>
                    <w:t>文件传输：支持远程向已冻结设备发送指令、安装软件、传输大文件，设备接收到后会立即执行，设备正常关机时触发穿透动作，完成后设备即可永久使用已安装软件、已传输文件、执行已接收指令，穿透过程无需人为解冻。</w:t>
                  </w:r>
                </w:p>
                <w:p w14:paraId="5EE2BCD7">
                  <w:pPr>
                    <w:pStyle w:val="4"/>
                    <w:numPr>
                      <w:ilvl w:val="0"/>
                      <w:numId w:val="1"/>
                    </w:numPr>
                    <w:jc w:val="both"/>
                  </w:pPr>
                  <w:r>
                    <w:rPr>
                      <w:rFonts w:ascii="方正仿宋_gb2312" w:hAnsi="方正仿宋_gb2312" w:eastAsia="方正仿宋_gb2312" w:cs="方正仿宋_gb2312"/>
                      <w:sz w:val="24"/>
                    </w:rPr>
                    <w:t>并行管理：支持实时展示不少于20台设备运行画面，可切换画面模式/列表模式。</w:t>
                  </w:r>
                </w:p>
                <w:p w14:paraId="04750311">
                  <w:pPr>
                    <w:pStyle w:val="4"/>
                    <w:numPr>
                      <w:ilvl w:val="0"/>
                      <w:numId w:val="1"/>
                    </w:numPr>
                    <w:jc w:val="both"/>
                  </w:pPr>
                  <w:r>
                    <w:rPr>
                      <w:rFonts w:ascii="方正仿宋_gb2312" w:hAnsi="方正仿宋_gb2312" w:eastAsia="方正仿宋_gb2312" w:cs="方正仿宋_gb2312"/>
                      <w:sz w:val="24"/>
                    </w:rPr>
                    <w:t>信息监测：支持在发送消息通知时，自动监测是否存在敏感/违规文字，信息安全可控。</w:t>
                  </w:r>
                </w:p>
                <w:p w14:paraId="5F1AB898">
                  <w:pPr>
                    <w:pStyle w:val="4"/>
                    <w:jc w:val="both"/>
                  </w:pPr>
                  <w:r>
                    <w:rPr>
                      <w:rFonts w:ascii="方正仿宋_gb2312" w:hAnsi="方正仿宋_gb2312" w:eastAsia="方正仿宋_gb2312" w:cs="方正仿宋_gb2312"/>
                      <w:sz w:val="24"/>
                    </w:rPr>
                    <w:t>7.弹窗拦截：支持一键开启不良弹窗AI拦截过滤，实时监测弹出窗口，当有窗口弹出时，自动使用“不良弹窗AI模型”判断，判断为不良弹窗时，自动拦截该窗口。</w:t>
                  </w:r>
                </w:p>
              </w:tc>
              <w:tc>
                <w:tcPr>
                  <w:tcW w:w="392" w:type="dxa"/>
                  <w:tcBorders>
                    <w:top w:val="nil"/>
                    <w:left w:val="nil"/>
                    <w:bottom w:val="single" w:color="000000" w:sz="4" w:space="0"/>
                    <w:right w:val="single" w:color="000000" w:sz="4" w:space="0"/>
                  </w:tcBorders>
                  <w:tcMar>
                    <w:top w:w="0" w:type="dxa"/>
                    <w:left w:w="0" w:type="dxa"/>
                    <w:bottom w:w="0" w:type="dxa"/>
                    <w:right w:w="0" w:type="dxa"/>
                  </w:tcMar>
                </w:tcPr>
                <w:p w14:paraId="705E4C73">
                  <w:pPr>
                    <w:pStyle w:val="4"/>
                    <w:ind w:firstLine="420"/>
                    <w:jc w:val="center"/>
                  </w:pPr>
                  <w:r>
                    <w:rPr>
                      <w:rFonts w:ascii="方正仿宋_gb2312" w:hAnsi="方正仿宋_gb2312" w:eastAsia="方正仿宋_gb2312" w:cs="方正仿宋_gb2312"/>
                      <w:b/>
                      <w:color w:val="000000"/>
                      <w:sz w:val="28"/>
                      <w:shd w:val="clear" w:fill="FFFFFF"/>
                    </w:rPr>
                    <w:t>11套</w:t>
                  </w:r>
                </w:p>
              </w:tc>
              <w:tc>
                <w:tcPr>
                  <w:tcW w:w="482" w:type="dxa"/>
                  <w:tcBorders>
                    <w:top w:val="nil"/>
                    <w:left w:val="nil"/>
                    <w:bottom w:val="single" w:color="000000" w:sz="4" w:space="0"/>
                    <w:right w:val="single" w:color="000000" w:sz="4" w:space="0"/>
                  </w:tcBorders>
                  <w:tcMar>
                    <w:top w:w="0" w:type="dxa"/>
                    <w:left w:w="0" w:type="dxa"/>
                    <w:bottom w:w="0" w:type="dxa"/>
                    <w:right w:w="0" w:type="dxa"/>
                  </w:tcMar>
                </w:tcPr>
                <w:p w14:paraId="79F7A637">
                  <w:pPr>
                    <w:pStyle w:val="4"/>
                    <w:ind w:firstLine="420"/>
                    <w:jc w:val="center"/>
                  </w:pPr>
                </w:p>
              </w:tc>
            </w:tr>
            <w:tr w14:paraId="1B458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0441AB32">
                  <w:pPr>
                    <w:pStyle w:val="4"/>
                    <w:jc w:val="center"/>
                  </w:pPr>
                  <w:r>
                    <w:rPr>
                      <w:rFonts w:ascii="方正仿宋_gb2312" w:hAnsi="方正仿宋_gb2312" w:eastAsia="方正仿宋_gb2312" w:cs="方正仿宋_gb2312"/>
                      <w:color w:val="000000"/>
                      <w:sz w:val="24"/>
                      <w:shd w:val="clear" w:fill="FFFFFF"/>
                    </w:rPr>
                    <w:t>4</w:t>
                  </w:r>
                </w:p>
              </w:tc>
              <w:tc>
                <w:tcPr>
                  <w:tcW w:w="706" w:type="dxa"/>
                  <w:tcBorders>
                    <w:top w:val="nil"/>
                    <w:left w:val="nil"/>
                    <w:bottom w:val="single" w:color="000000" w:sz="4" w:space="0"/>
                    <w:right w:val="single" w:color="000000" w:sz="4" w:space="0"/>
                  </w:tcBorders>
                  <w:tcMar>
                    <w:top w:w="0" w:type="dxa"/>
                    <w:left w:w="0" w:type="dxa"/>
                    <w:bottom w:w="0" w:type="dxa"/>
                    <w:right w:w="0" w:type="dxa"/>
                  </w:tcMar>
                </w:tcPr>
                <w:p w14:paraId="3F0EA601">
                  <w:pPr>
                    <w:pStyle w:val="4"/>
                    <w:jc w:val="center"/>
                  </w:pPr>
                  <w:r>
                    <w:rPr>
                      <w:rFonts w:ascii="方正仿宋_gb2312" w:hAnsi="方正仿宋_gb2312" w:eastAsia="方正仿宋_gb2312" w:cs="方正仿宋_gb2312"/>
                      <w:b/>
                      <w:sz w:val="24"/>
                    </w:rPr>
                    <w:t>视频展台</w:t>
                  </w:r>
                </w:p>
              </w:tc>
              <w:tc>
                <w:tcPr>
                  <w:tcW w:w="1402" w:type="dxa"/>
                  <w:tcBorders>
                    <w:top w:val="nil"/>
                    <w:left w:val="nil"/>
                    <w:bottom w:val="single" w:color="000000" w:sz="4" w:space="0"/>
                    <w:right w:val="single" w:color="000000" w:sz="4" w:space="0"/>
                  </w:tcBorders>
                  <w:tcMar>
                    <w:top w:w="0" w:type="dxa"/>
                    <w:left w:w="0" w:type="dxa"/>
                    <w:bottom w:w="0" w:type="dxa"/>
                    <w:right w:w="0" w:type="dxa"/>
                  </w:tcMar>
                  <w:vAlign w:val="top"/>
                </w:tcPr>
                <w:p w14:paraId="432C7277">
                  <w:pPr>
                    <w:pStyle w:val="4"/>
                    <w:jc w:val="both"/>
                  </w:pPr>
                  <w:r>
                    <w:rPr>
                      <w:rFonts w:ascii="方正仿宋_gb2312" w:hAnsi="方正仿宋_gb2312" w:eastAsia="方正仿宋_gb2312" w:cs="方正仿宋_gb2312"/>
                      <w:sz w:val="24"/>
                    </w:rPr>
                    <w:t>1.采用≥800万像素摄像头，USB直接供电。</w:t>
                  </w:r>
                </w:p>
                <w:p w14:paraId="541BC762">
                  <w:pPr>
                    <w:pStyle w:val="4"/>
                    <w:jc w:val="both"/>
                  </w:pPr>
                  <w:r>
                    <w:rPr>
                      <w:rFonts w:ascii="方正仿宋_gb2312" w:hAnsi="方正仿宋_gb2312" w:eastAsia="方正仿宋_gb2312" w:cs="方正仿宋_gb2312"/>
                      <w:sz w:val="24"/>
                    </w:rPr>
                    <w:t>2.采用圆弧式设计，无锐角，托板采用磁吸式结构。</w:t>
                  </w:r>
                </w:p>
                <w:p w14:paraId="18D3DE66">
                  <w:pPr>
                    <w:pStyle w:val="4"/>
                    <w:jc w:val="both"/>
                  </w:pPr>
                  <w:r>
                    <w:rPr>
                      <w:rFonts w:ascii="方正仿宋_gb2312" w:hAnsi="方正仿宋_gb2312" w:eastAsia="方正仿宋_gb2312" w:cs="方正仿宋_gb2312"/>
                      <w:sz w:val="24"/>
                    </w:rPr>
                    <w:t>3.展示托板正上方具备LED补光灯。</w:t>
                  </w:r>
                </w:p>
                <w:p w14:paraId="2BF2EE30">
                  <w:pPr>
                    <w:pStyle w:val="4"/>
                    <w:jc w:val="both"/>
                  </w:pPr>
                  <w:r>
                    <w:rPr>
                      <w:rFonts w:ascii="方正仿宋_gb2312" w:hAnsi="方正仿宋_gb2312" w:eastAsia="方正仿宋_gb2312" w:cs="方正仿宋_gb2312"/>
                      <w:sz w:val="24"/>
                    </w:rPr>
                    <w:t>4.摄像头防护等级达到IP4X级别。</w:t>
                  </w:r>
                </w:p>
              </w:tc>
              <w:tc>
                <w:tcPr>
                  <w:tcW w:w="392" w:type="dxa"/>
                  <w:tcBorders>
                    <w:top w:val="nil"/>
                    <w:left w:val="nil"/>
                    <w:bottom w:val="single" w:color="000000" w:sz="4" w:space="0"/>
                    <w:right w:val="single" w:color="000000" w:sz="4" w:space="0"/>
                  </w:tcBorders>
                  <w:tcMar>
                    <w:top w:w="0" w:type="dxa"/>
                    <w:left w:w="0" w:type="dxa"/>
                    <w:bottom w:w="0" w:type="dxa"/>
                    <w:right w:w="0" w:type="dxa"/>
                  </w:tcMar>
                </w:tcPr>
                <w:p w14:paraId="67272F27">
                  <w:pPr>
                    <w:pStyle w:val="4"/>
                    <w:ind w:firstLine="420"/>
                    <w:jc w:val="center"/>
                  </w:pPr>
                  <w:r>
                    <w:rPr>
                      <w:rFonts w:ascii="方正仿宋_gb2312" w:hAnsi="方正仿宋_gb2312" w:eastAsia="方正仿宋_gb2312" w:cs="方正仿宋_gb2312"/>
                      <w:b/>
                      <w:color w:val="000000"/>
                      <w:sz w:val="28"/>
                      <w:shd w:val="clear" w:fill="FFFFFF"/>
                    </w:rPr>
                    <w:t>11套</w:t>
                  </w:r>
                </w:p>
              </w:tc>
              <w:tc>
                <w:tcPr>
                  <w:tcW w:w="482" w:type="dxa"/>
                  <w:tcBorders>
                    <w:top w:val="nil"/>
                    <w:left w:val="nil"/>
                    <w:bottom w:val="single" w:color="000000" w:sz="4" w:space="0"/>
                    <w:right w:val="single" w:color="000000" w:sz="4" w:space="0"/>
                  </w:tcBorders>
                  <w:tcMar>
                    <w:top w:w="0" w:type="dxa"/>
                    <w:left w:w="0" w:type="dxa"/>
                    <w:bottom w:w="0" w:type="dxa"/>
                    <w:right w:w="0" w:type="dxa"/>
                  </w:tcMar>
                </w:tcPr>
                <w:p w14:paraId="0FDE63D9">
                  <w:pPr>
                    <w:pStyle w:val="4"/>
                    <w:ind w:firstLine="420"/>
                    <w:jc w:val="center"/>
                  </w:pPr>
                </w:p>
              </w:tc>
            </w:tr>
            <w:tr w14:paraId="08795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5FE446FA">
                  <w:pPr>
                    <w:pStyle w:val="4"/>
                    <w:jc w:val="both"/>
                  </w:pPr>
                  <w:r>
                    <w:rPr>
                      <w:rFonts w:ascii="方正仿宋_gb2312" w:hAnsi="方正仿宋_gb2312" w:eastAsia="方正仿宋_gb2312" w:cs="方正仿宋_gb2312"/>
                      <w:color w:val="000000"/>
                      <w:sz w:val="24"/>
                      <w:shd w:val="clear" w:fill="FFFFFF"/>
                    </w:rPr>
                    <w:t>5</w:t>
                  </w:r>
                </w:p>
              </w:tc>
              <w:tc>
                <w:tcPr>
                  <w:tcW w:w="706" w:type="dxa"/>
                  <w:tcBorders>
                    <w:top w:val="nil"/>
                    <w:left w:val="nil"/>
                    <w:bottom w:val="single" w:color="000000" w:sz="4" w:space="0"/>
                    <w:right w:val="single" w:color="000000" w:sz="4" w:space="0"/>
                  </w:tcBorders>
                  <w:tcMar>
                    <w:top w:w="0" w:type="dxa"/>
                    <w:left w:w="0" w:type="dxa"/>
                    <w:bottom w:w="0" w:type="dxa"/>
                    <w:right w:w="0" w:type="dxa"/>
                  </w:tcMar>
                </w:tcPr>
                <w:p w14:paraId="5BD1C692">
                  <w:pPr>
                    <w:pStyle w:val="4"/>
                    <w:jc w:val="center"/>
                  </w:pPr>
                  <w:r>
                    <w:rPr>
                      <w:rFonts w:ascii="方正仿宋_gb2312" w:hAnsi="方正仿宋_gb2312" w:eastAsia="方正仿宋_gb2312" w:cs="方正仿宋_gb2312"/>
                      <w:b/>
                      <w:sz w:val="24"/>
                    </w:rPr>
                    <w:t>智能笔</w:t>
                  </w:r>
                </w:p>
              </w:tc>
              <w:tc>
                <w:tcPr>
                  <w:tcW w:w="1402" w:type="dxa"/>
                  <w:tcBorders>
                    <w:top w:val="nil"/>
                    <w:left w:val="nil"/>
                    <w:bottom w:val="single" w:color="000000" w:sz="4" w:space="0"/>
                    <w:right w:val="single" w:color="000000" w:sz="4" w:space="0"/>
                  </w:tcBorders>
                  <w:tcMar>
                    <w:top w:w="0" w:type="dxa"/>
                    <w:left w:w="0" w:type="dxa"/>
                    <w:bottom w:w="0" w:type="dxa"/>
                    <w:right w:w="0" w:type="dxa"/>
                  </w:tcMar>
                  <w:vAlign w:val="top"/>
                </w:tcPr>
                <w:p w14:paraId="61A97F2F">
                  <w:pPr>
                    <w:pStyle w:val="4"/>
                    <w:numPr>
                      <w:ilvl w:val="0"/>
                      <w:numId w:val="1"/>
                    </w:numPr>
                    <w:jc w:val="both"/>
                  </w:pPr>
                  <w:r>
                    <w:rPr>
                      <w:rFonts w:ascii="方正仿宋_gb2312" w:hAnsi="方正仿宋_gb2312" w:eastAsia="方正仿宋_gb2312" w:cs="方正仿宋_gb2312"/>
                      <w:sz w:val="24"/>
                    </w:rPr>
                    <w:t>笔身造型采用圆润一体化笔型设计，同时支持电容，红外触控设备书写。</w:t>
                  </w:r>
                </w:p>
                <w:p w14:paraId="31A4E6C3">
                  <w:pPr>
                    <w:pStyle w:val="4"/>
                    <w:numPr>
                      <w:ilvl w:val="0"/>
                      <w:numId w:val="1"/>
                    </w:numPr>
                    <w:jc w:val="both"/>
                  </w:pPr>
                  <w:r>
                    <w:rPr>
                      <w:rFonts w:ascii="方正仿宋_gb2312" w:hAnsi="方正仿宋_gb2312" w:eastAsia="方正仿宋_gb2312" w:cs="方正仿宋_gb2312"/>
                      <w:sz w:val="24"/>
                    </w:rPr>
                    <w:t>配置不少于三个按键，具备上下翻页，智能语音，远程聚光灯/放大等功能。</w:t>
                  </w:r>
                </w:p>
                <w:p w14:paraId="5AD1F44B">
                  <w:pPr>
                    <w:pStyle w:val="4"/>
                    <w:numPr>
                      <w:ilvl w:val="0"/>
                      <w:numId w:val="1"/>
                    </w:numPr>
                    <w:jc w:val="both"/>
                  </w:pPr>
                  <w:r>
                    <w:rPr>
                      <w:rFonts w:ascii="方正仿宋_gb2312" w:hAnsi="方正仿宋_gb2312" w:eastAsia="方正仿宋_gb2312" w:cs="方正仿宋_gb2312"/>
                      <w:sz w:val="24"/>
                    </w:rPr>
                    <w:t>翻页按键：短按上下翻页按键，可实现白板软件/ppt/pdf等文档上下翻页；长按上下翻页按键，可实现ppt播放/退出。</w:t>
                  </w:r>
                </w:p>
                <w:p w14:paraId="697C96DA">
                  <w:pPr>
                    <w:pStyle w:val="4"/>
                    <w:numPr>
                      <w:ilvl w:val="0"/>
                      <w:numId w:val="1"/>
                    </w:numPr>
                    <w:jc w:val="both"/>
                  </w:pPr>
                  <w:r>
                    <w:rPr>
                      <w:rFonts w:ascii="方正仿宋_gb2312" w:hAnsi="方正仿宋_gb2312" w:eastAsia="方正仿宋_gb2312" w:cs="方正仿宋_gb2312"/>
                      <w:sz w:val="24"/>
                    </w:rPr>
                    <w:t>内置麦克风，支持按键唤醒语音识别功能，可直接通过语音打开已安装的应用，可直接通过语音调用网络搜索引擎搜索查询相应资料，可进行语音转写输入，支持语音控制屏幕黑屏、亮屏，音量大小调整，返回桌面，截屏，关机等操作。</w:t>
                  </w:r>
                </w:p>
                <w:p w14:paraId="1BB17CD4">
                  <w:pPr>
                    <w:pStyle w:val="4"/>
                    <w:jc w:val="both"/>
                  </w:pPr>
                  <w:r>
                    <w:rPr>
                      <w:rFonts w:ascii="方正仿宋_gb2312" w:hAnsi="方正仿宋_gb2312" w:eastAsia="方正仿宋_gb2312" w:cs="方正仿宋_gb2312"/>
                      <w:sz w:val="24"/>
                    </w:rPr>
                    <w:t>内置锂电池，支持type-c充电，待机时间≥60h,连续使用时间≥8h，长时间（＞5分钟）无操作时，自动进入休眠模式。</w:t>
                  </w:r>
                </w:p>
              </w:tc>
              <w:tc>
                <w:tcPr>
                  <w:tcW w:w="392" w:type="dxa"/>
                  <w:tcBorders>
                    <w:top w:val="nil"/>
                    <w:left w:val="nil"/>
                    <w:bottom w:val="single" w:color="000000" w:sz="4" w:space="0"/>
                    <w:right w:val="single" w:color="000000" w:sz="4" w:space="0"/>
                  </w:tcBorders>
                  <w:tcMar>
                    <w:top w:w="0" w:type="dxa"/>
                    <w:left w:w="0" w:type="dxa"/>
                    <w:bottom w:w="0" w:type="dxa"/>
                    <w:right w:w="0" w:type="dxa"/>
                  </w:tcMar>
                </w:tcPr>
                <w:p w14:paraId="0424F17E">
                  <w:pPr>
                    <w:pStyle w:val="4"/>
                    <w:ind w:firstLine="420"/>
                    <w:jc w:val="center"/>
                  </w:pPr>
                  <w:r>
                    <w:rPr>
                      <w:rFonts w:ascii="方正仿宋_gb2312" w:hAnsi="方正仿宋_gb2312" w:eastAsia="方正仿宋_gb2312" w:cs="方正仿宋_gb2312"/>
                      <w:b/>
                      <w:color w:val="000000"/>
                      <w:sz w:val="28"/>
                      <w:shd w:val="clear" w:fill="FFFFFF"/>
                    </w:rPr>
                    <w:t>11套</w:t>
                  </w:r>
                </w:p>
              </w:tc>
              <w:tc>
                <w:tcPr>
                  <w:tcW w:w="482" w:type="dxa"/>
                  <w:tcBorders>
                    <w:top w:val="nil"/>
                    <w:left w:val="nil"/>
                    <w:bottom w:val="single" w:color="000000" w:sz="4" w:space="0"/>
                    <w:right w:val="single" w:color="000000" w:sz="4" w:space="0"/>
                  </w:tcBorders>
                  <w:tcMar>
                    <w:top w:w="0" w:type="dxa"/>
                    <w:left w:w="0" w:type="dxa"/>
                    <w:bottom w:w="0" w:type="dxa"/>
                    <w:right w:w="0" w:type="dxa"/>
                  </w:tcMar>
                </w:tcPr>
                <w:p w14:paraId="228996C0">
                  <w:pPr>
                    <w:pStyle w:val="4"/>
                    <w:ind w:firstLine="420"/>
                    <w:jc w:val="center"/>
                  </w:pPr>
                </w:p>
              </w:tc>
            </w:tr>
            <w:tr w14:paraId="7E86F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312E9E47">
                  <w:pPr>
                    <w:pStyle w:val="4"/>
                    <w:jc w:val="center"/>
                  </w:pPr>
                  <w:r>
                    <w:rPr>
                      <w:rFonts w:ascii="方正仿宋_gb2312" w:hAnsi="方正仿宋_gb2312" w:eastAsia="方正仿宋_gb2312" w:cs="方正仿宋_gb2312"/>
                      <w:sz w:val="24"/>
                    </w:rPr>
                    <w:t>6</w:t>
                  </w:r>
                </w:p>
              </w:tc>
              <w:tc>
                <w:tcPr>
                  <w:tcW w:w="706" w:type="dxa"/>
                  <w:tcBorders>
                    <w:top w:val="nil"/>
                    <w:left w:val="nil"/>
                    <w:bottom w:val="single" w:color="000000" w:sz="4" w:space="0"/>
                    <w:right w:val="single" w:color="000000" w:sz="4" w:space="0"/>
                  </w:tcBorders>
                  <w:tcMar>
                    <w:top w:w="0" w:type="dxa"/>
                    <w:left w:w="0" w:type="dxa"/>
                    <w:bottom w:w="0" w:type="dxa"/>
                    <w:right w:w="0" w:type="dxa"/>
                  </w:tcMar>
                </w:tcPr>
                <w:p w14:paraId="0BEB0EC9">
                  <w:pPr>
                    <w:pStyle w:val="4"/>
                    <w:jc w:val="center"/>
                  </w:pPr>
                  <w:r>
                    <w:rPr>
                      <w:rFonts w:ascii="方正仿宋_gb2312" w:hAnsi="方正仿宋_gb2312" w:eastAsia="方正仿宋_gb2312" w:cs="方正仿宋_gb2312"/>
                      <w:b/>
                      <w:sz w:val="24"/>
                    </w:rPr>
                    <w:t>音箱</w:t>
                  </w:r>
                </w:p>
              </w:tc>
              <w:tc>
                <w:tcPr>
                  <w:tcW w:w="1402" w:type="dxa"/>
                  <w:tcBorders>
                    <w:top w:val="nil"/>
                    <w:left w:val="nil"/>
                    <w:bottom w:val="single" w:color="000000" w:sz="4" w:space="0"/>
                    <w:right w:val="single" w:color="000000" w:sz="4" w:space="0"/>
                  </w:tcBorders>
                  <w:tcMar>
                    <w:top w:w="0" w:type="dxa"/>
                    <w:left w:w="0" w:type="dxa"/>
                    <w:bottom w:w="0" w:type="dxa"/>
                    <w:right w:w="0" w:type="dxa"/>
                  </w:tcMar>
                  <w:vAlign w:val="top"/>
                </w:tcPr>
                <w:p w14:paraId="0199FC42">
                  <w:pPr>
                    <w:pStyle w:val="4"/>
                    <w:jc w:val="both"/>
                  </w:pPr>
                  <w:r>
                    <w:rPr>
                      <w:rFonts w:ascii="方正仿宋_gb2312" w:hAnsi="方正仿宋_gb2312" w:eastAsia="方正仿宋_gb2312" w:cs="方正仿宋_gb2312"/>
                      <w:sz w:val="24"/>
                    </w:rPr>
                    <w:t>1.采用功放与音箱一体设计，内置麦克风无线接收模块，实现智慧黑板扩音和师生扩声。</w:t>
                  </w:r>
                </w:p>
                <w:p w14:paraId="3877D728">
                  <w:pPr>
                    <w:pStyle w:val="4"/>
                    <w:jc w:val="both"/>
                  </w:pPr>
                  <w:r>
                    <w:rPr>
                      <w:rFonts w:ascii="方正仿宋_gb2312" w:hAnsi="方正仿宋_gb2312" w:eastAsia="方正仿宋_gb2312" w:cs="方正仿宋_gb2312"/>
                      <w:sz w:val="24"/>
                    </w:rPr>
                    <w:t>2.功率:≥2*15W，具有电源开关。</w:t>
                  </w:r>
                </w:p>
                <w:p w14:paraId="66B0E9A3">
                  <w:pPr>
                    <w:pStyle w:val="4"/>
                    <w:jc w:val="both"/>
                  </w:pPr>
                  <w:r>
                    <w:rPr>
                      <w:rFonts w:ascii="方正仿宋_gb2312" w:hAnsi="方正仿宋_gb2312" w:eastAsia="方正仿宋_gb2312" w:cs="方正仿宋_gb2312"/>
                      <w:sz w:val="24"/>
                    </w:rPr>
                    <w:t>3.麦克风和功放音箱之间采用数字Wi-Fi传输信号，支持教师声音和其他输入音源叠加输出。</w:t>
                  </w:r>
                </w:p>
                <w:p w14:paraId="37B4D66D">
                  <w:pPr>
                    <w:pStyle w:val="4"/>
                    <w:jc w:val="both"/>
                  </w:pPr>
                  <w:r>
                    <w:rPr>
                      <w:rFonts w:ascii="方正仿宋_gb2312" w:hAnsi="方正仿宋_gb2312" w:eastAsia="方正仿宋_gb2312" w:cs="方正仿宋_gb2312"/>
                      <w:sz w:val="24"/>
                    </w:rPr>
                    <w:t>4.,支持密码模式，防止学生连接。</w:t>
                  </w:r>
                </w:p>
                <w:p w14:paraId="15E5DF56">
                  <w:pPr>
                    <w:pStyle w:val="4"/>
                    <w:jc w:val="both"/>
                  </w:pPr>
                  <w:r>
                    <w:rPr>
                      <w:rFonts w:ascii="方正仿宋_gb2312" w:hAnsi="方正仿宋_gb2312" w:eastAsia="方正仿宋_gb2312" w:cs="方正仿宋_gb2312"/>
                      <w:sz w:val="24"/>
                    </w:rPr>
                    <w:t>5.支持智慧黑板通过蓝牙连接音箱，控制音箱音量。</w:t>
                  </w:r>
                </w:p>
              </w:tc>
              <w:tc>
                <w:tcPr>
                  <w:tcW w:w="392" w:type="dxa"/>
                  <w:tcBorders>
                    <w:top w:val="nil"/>
                    <w:left w:val="nil"/>
                    <w:bottom w:val="single" w:color="000000" w:sz="4" w:space="0"/>
                    <w:right w:val="single" w:color="000000" w:sz="4" w:space="0"/>
                  </w:tcBorders>
                  <w:tcMar>
                    <w:top w:w="0" w:type="dxa"/>
                    <w:left w:w="0" w:type="dxa"/>
                    <w:bottom w:w="0" w:type="dxa"/>
                    <w:right w:w="0" w:type="dxa"/>
                  </w:tcMar>
                </w:tcPr>
                <w:p w14:paraId="35F84F6B">
                  <w:pPr>
                    <w:pStyle w:val="4"/>
                    <w:ind w:firstLine="420"/>
                    <w:jc w:val="center"/>
                  </w:pPr>
                  <w:r>
                    <w:rPr>
                      <w:rFonts w:ascii="方正仿宋_gb2312" w:hAnsi="方正仿宋_gb2312" w:eastAsia="方正仿宋_gb2312" w:cs="方正仿宋_gb2312"/>
                      <w:b/>
                      <w:color w:val="000000"/>
                      <w:sz w:val="28"/>
                      <w:shd w:val="clear" w:fill="FFFFFF"/>
                    </w:rPr>
                    <w:t>11套</w:t>
                  </w:r>
                </w:p>
              </w:tc>
              <w:tc>
                <w:tcPr>
                  <w:tcW w:w="482" w:type="dxa"/>
                  <w:tcBorders>
                    <w:top w:val="nil"/>
                    <w:left w:val="nil"/>
                    <w:bottom w:val="single" w:color="000000" w:sz="4" w:space="0"/>
                    <w:right w:val="single" w:color="000000" w:sz="4" w:space="0"/>
                  </w:tcBorders>
                  <w:tcMar>
                    <w:top w:w="0" w:type="dxa"/>
                    <w:left w:w="0" w:type="dxa"/>
                    <w:bottom w:w="0" w:type="dxa"/>
                    <w:right w:w="0" w:type="dxa"/>
                  </w:tcMar>
                </w:tcPr>
                <w:p w14:paraId="47C10650">
                  <w:pPr>
                    <w:pStyle w:val="4"/>
                    <w:ind w:firstLine="420"/>
                    <w:jc w:val="center"/>
                  </w:pPr>
                </w:p>
              </w:tc>
            </w:tr>
            <w:tr w14:paraId="7F04A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2B67BB2C">
                  <w:pPr>
                    <w:pStyle w:val="4"/>
                    <w:jc w:val="center"/>
                  </w:pPr>
                  <w:r>
                    <w:rPr>
                      <w:rFonts w:ascii="方正仿宋_gb2312" w:hAnsi="方正仿宋_gb2312" w:eastAsia="方正仿宋_gb2312" w:cs="方正仿宋_gb2312"/>
                      <w:sz w:val="24"/>
                    </w:rPr>
                    <w:t>7</w:t>
                  </w:r>
                </w:p>
              </w:tc>
              <w:tc>
                <w:tcPr>
                  <w:tcW w:w="706" w:type="dxa"/>
                  <w:tcBorders>
                    <w:top w:val="nil"/>
                    <w:left w:val="nil"/>
                    <w:bottom w:val="single" w:color="000000" w:sz="4" w:space="0"/>
                    <w:right w:val="single" w:color="000000" w:sz="4" w:space="0"/>
                  </w:tcBorders>
                  <w:tcMar>
                    <w:top w:w="0" w:type="dxa"/>
                    <w:left w:w="0" w:type="dxa"/>
                    <w:bottom w:w="0" w:type="dxa"/>
                    <w:right w:w="0" w:type="dxa"/>
                  </w:tcMar>
                </w:tcPr>
                <w:p w14:paraId="3077BC77">
                  <w:pPr>
                    <w:pStyle w:val="4"/>
                    <w:jc w:val="center"/>
                  </w:pPr>
                  <w:r>
                    <w:rPr>
                      <w:rFonts w:ascii="方正仿宋_gb2312" w:hAnsi="方正仿宋_gb2312" w:eastAsia="方正仿宋_gb2312" w:cs="方正仿宋_gb2312"/>
                      <w:b/>
                      <w:sz w:val="24"/>
                    </w:rPr>
                    <w:t>无线麦</w:t>
                  </w:r>
                </w:p>
              </w:tc>
              <w:tc>
                <w:tcPr>
                  <w:tcW w:w="1402" w:type="dxa"/>
                  <w:tcBorders>
                    <w:top w:val="nil"/>
                    <w:left w:val="nil"/>
                    <w:bottom w:val="single" w:color="000000" w:sz="4" w:space="0"/>
                    <w:right w:val="single" w:color="000000" w:sz="4" w:space="0"/>
                  </w:tcBorders>
                  <w:tcMar>
                    <w:top w:w="0" w:type="dxa"/>
                    <w:left w:w="0" w:type="dxa"/>
                    <w:bottom w:w="0" w:type="dxa"/>
                    <w:right w:w="0" w:type="dxa"/>
                  </w:tcMar>
                  <w:vAlign w:val="top"/>
                </w:tcPr>
                <w:p w14:paraId="11A8D79C">
                  <w:pPr>
                    <w:pStyle w:val="4"/>
                    <w:jc w:val="both"/>
                  </w:pPr>
                  <w:r>
                    <w:rPr>
                      <w:rFonts w:ascii="方正仿宋_gb2312" w:hAnsi="方正仿宋_gb2312" w:eastAsia="方正仿宋_gb2312" w:cs="方正仿宋_gb2312"/>
                      <w:sz w:val="24"/>
                    </w:rPr>
                    <w:t>1.无线麦克风集音频发射处理器、天线、电池、拾音麦一体。</w:t>
                  </w:r>
                </w:p>
                <w:p w14:paraId="4DE55FDC">
                  <w:pPr>
                    <w:pStyle w:val="4"/>
                    <w:jc w:val="both"/>
                  </w:pPr>
                  <w:r>
                    <w:rPr>
                      <w:rFonts w:ascii="方正仿宋_gb2312" w:hAnsi="方正仿宋_gb2312" w:eastAsia="方正仿宋_gb2312" w:cs="方正仿宋_gb2312"/>
                      <w:sz w:val="24"/>
                    </w:rPr>
                    <w:t>2.采样率≥48KHz，扩音增益≥15dB，底噪≤100uVrms，声信噪比≥60dB。</w:t>
                  </w:r>
                </w:p>
                <w:p w14:paraId="4F7922D8">
                  <w:pPr>
                    <w:pStyle w:val="4"/>
                    <w:jc w:val="both"/>
                  </w:pPr>
                  <w:r>
                    <w:rPr>
                      <w:rFonts w:ascii="方正仿宋_gb2312" w:hAnsi="方正仿宋_gb2312" w:eastAsia="方正仿宋_gb2312" w:cs="方正仿宋_gb2312"/>
                      <w:sz w:val="24"/>
                    </w:rPr>
                    <w:t>3.支持2.4GHz与5G双频段工作，信道数量≥20个。</w:t>
                  </w:r>
                </w:p>
                <w:p w14:paraId="04237616">
                  <w:pPr>
                    <w:pStyle w:val="4"/>
                    <w:jc w:val="both"/>
                  </w:pPr>
                  <w:r>
                    <w:rPr>
                      <w:rFonts w:ascii="方正仿宋_gb2312" w:hAnsi="方正仿宋_gb2312" w:eastAsia="方正仿宋_gb2312" w:cs="方正仿宋_gb2312"/>
                      <w:sz w:val="24"/>
                    </w:rPr>
                    <w:t>4.采用红外对码方式连接音箱，支持两个无线麦克风同时配对同一音箱，两个麦克风可混音扩音。</w:t>
                  </w:r>
                </w:p>
                <w:p w14:paraId="73616CB8">
                  <w:pPr>
                    <w:pStyle w:val="4"/>
                    <w:jc w:val="both"/>
                  </w:pPr>
                  <w:r>
                    <w:rPr>
                      <w:rFonts w:ascii="方正仿宋_gb2312" w:hAnsi="方正仿宋_gb2312" w:eastAsia="方正仿宋_gb2312" w:cs="方正仿宋_gb2312"/>
                      <w:sz w:val="24"/>
                    </w:rPr>
                    <w:t>5.具备Type-c接口，可连接头戴式、挂耳式外置麦克风，与充电接口复用。</w:t>
                  </w:r>
                </w:p>
              </w:tc>
              <w:tc>
                <w:tcPr>
                  <w:tcW w:w="392" w:type="dxa"/>
                  <w:tcBorders>
                    <w:top w:val="nil"/>
                    <w:left w:val="nil"/>
                    <w:bottom w:val="single" w:color="000000" w:sz="4" w:space="0"/>
                    <w:right w:val="single" w:color="000000" w:sz="4" w:space="0"/>
                  </w:tcBorders>
                  <w:tcMar>
                    <w:top w:w="0" w:type="dxa"/>
                    <w:left w:w="0" w:type="dxa"/>
                    <w:bottom w:w="0" w:type="dxa"/>
                    <w:right w:w="0" w:type="dxa"/>
                  </w:tcMar>
                </w:tcPr>
                <w:p w14:paraId="6CA7BA3F">
                  <w:pPr>
                    <w:pStyle w:val="4"/>
                    <w:ind w:firstLine="420"/>
                    <w:jc w:val="center"/>
                  </w:pPr>
                  <w:r>
                    <w:rPr>
                      <w:rFonts w:ascii="方正仿宋_gb2312" w:hAnsi="方正仿宋_gb2312" w:eastAsia="方正仿宋_gb2312" w:cs="方正仿宋_gb2312"/>
                      <w:b/>
                      <w:color w:val="000000"/>
                      <w:sz w:val="28"/>
                      <w:shd w:val="clear" w:fill="FFFFFF"/>
                    </w:rPr>
                    <w:t>11套</w:t>
                  </w:r>
                </w:p>
              </w:tc>
              <w:tc>
                <w:tcPr>
                  <w:tcW w:w="482" w:type="dxa"/>
                  <w:tcBorders>
                    <w:top w:val="nil"/>
                    <w:left w:val="nil"/>
                    <w:bottom w:val="single" w:color="000000" w:sz="4" w:space="0"/>
                    <w:right w:val="single" w:color="000000" w:sz="4" w:space="0"/>
                  </w:tcBorders>
                  <w:tcMar>
                    <w:top w:w="0" w:type="dxa"/>
                    <w:left w:w="0" w:type="dxa"/>
                    <w:bottom w:w="0" w:type="dxa"/>
                    <w:right w:w="0" w:type="dxa"/>
                  </w:tcMar>
                </w:tcPr>
                <w:p w14:paraId="1FFD1928">
                  <w:pPr>
                    <w:pStyle w:val="4"/>
                    <w:ind w:firstLine="420"/>
                    <w:jc w:val="center"/>
                  </w:pPr>
                </w:p>
              </w:tc>
            </w:tr>
          </w:tbl>
          <w:p w14:paraId="7CD8D071"/>
        </w:tc>
      </w:tr>
    </w:tbl>
    <w:p w14:paraId="5F89838E">
      <w:pPr>
        <w:pStyle w:val="4"/>
        <w:jc w:val="left"/>
        <w:outlineLvl w:val="2"/>
      </w:pPr>
      <w:r>
        <w:rPr>
          <w:b/>
          <w:sz w:val="28"/>
        </w:rPr>
        <w:t>3.3.服务要求</w:t>
      </w:r>
    </w:p>
    <w:p w14:paraId="7610BFCF">
      <w:pPr>
        <w:pStyle w:val="4"/>
        <w:jc w:val="left"/>
        <w:outlineLvl w:val="3"/>
      </w:pPr>
      <w:r>
        <w:rPr>
          <w:b/>
          <w:sz w:val="24"/>
        </w:rPr>
        <w:t>3.3.1.服务内容要求</w:t>
      </w:r>
    </w:p>
    <w:p w14:paraId="1147F9FF">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7A5C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659D60">
            <w:pPr>
              <w:pStyle w:val="4"/>
              <w:jc w:val="left"/>
            </w:pPr>
            <w:r>
              <w:t xml:space="preserve"> 序号</w:t>
            </w:r>
          </w:p>
        </w:tc>
        <w:tc>
          <w:tcPr>
            <w:tcW w:w="2076" w:type="dxa"/>
          </w:tcPr>
          <w:p w14:paraId="239D4295">
            <w:pPr>
              <w:pStyle w:val="4"/>
              <w:jc w:val="left"/>
            </w:pPr>
            <w:r>
              <w:t xml:space="preserve"> 符号标识</w:t>
            </w:r>
          </w:p>
        </w:tc>
        <w:tc>
          <w:tcPr>
            <w:tcW w:w="2076" w:type="dxa"/>
          </w:tcPr>
          <w:p w14:paraId="2B0AEE5B">
            <w:pPr>
              <w:pStyle w:val="4"/>
              <w:jc w:val="left"/>
            </w:pPr>
            <w:r>
              <w:t xml:space="preserve"> 服务要求名称</w:t>
            </w:r>
          </w:p>
        </w:tc>
        <w:tc>
          <w:tcPr>
            <w:tcW w:w="2076" w:type="dxa"/>
          </w:tcPr>
          <w:p w14:paraId="3A5D6909">
            <w:pPr>
              <w:pStyle w:val="4"/>
              <w:jc w:val="left"/>
            </w:pPr>
            <w:r>
              <w:t xml:space="preserve"> 服务要求内容</w:t>
            </w:r>
          </w:p>
        </w:tc>
      </w:tr>
      <w:tr w14:paraId="0F8B8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9BD206">
            <w:pPr>
              <w:pStyle w:val="4"/>
              <w:jc w:val="left"/>
            </w:pPr>
            <w:r>
              <w:t>1</w:t>
            </w:r>
          </w:p>
        </w:tc>
        <w:tc>
          <w:tcPr>
            <w:tcW w:w="2076" w:type="dxa"/>
          </w:tcPr>
          <w:p w14:paraId="578290DE"/>
        </w:tc>
        <w:tc>
          <w:tcPr>
            <w:tcW w:w="2076" w:type="dxa"/>
          </w:tcPr>
          <w:p w14:paraId="679BFD65">
            <w:pPr>
              <w:pStyle w:val="4"/>
              <w:jc w:val="left"/>
            </w:pPr>
            <w:r>
              <w:t>售后服务</w:t>
            </w:r>
          </w:p>
        </w:tc>
        <w:tc>
          <w:tcPr>
            <w:tcW w:w="2076" w:type="dxa"/>
          </w:tcPr>
          <w:p w14:paraId="286CFBC5">
            <w:pPr>
              <w:pStyle w:val="4"/>
              <w:jc w:val="both"/>
            </w:pPr>
            <w:r>
              <w:rPr>
                <w:rFonts w:ascii="宋体" w:hAnsi="宋体" w:eastAsia="宋体" w:cs="宋体"/>
                <w:color w:val="000000"/>
                <w:sz w:val="24"/>
              </w:rPr>
              <w:t>成交供应商提供7*24小时技术支持，接到故障报修后30分钟内响应，6小时内到达现场，24小时内排除故障。</w:t>
            </w:r>
          </w:p>
        </w:tc>
      </w:tr>
      <w:tr w14:paraId="7B2C8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17611D7">
            <w:pPr>
              <w:pStyle w:val="4"/>
              <w:jc w:val="left"/>
            </w:pPr>
            <w:r>
              <w:t>2</w:t>
            </w:r>
          </w:p>
        </w:tc>
        <w:tc>
          <w:tcPr>
            <w:tcW w:w="2076" w:type="dxa"/>
          </w:tcPr>
          <w:p w14:paraId="3593AA72"/>
        </w:tc>
        <w:tc>
          <w:tcPr>
            <w:tcW w:w="2076" w:type="dxa"/>
          </w:tcPr>
          <w:p w14:paraId="6D567F83">
            <w:pPr>
              <w:pStyle w:val="4"/>
              <w:jc w:val="left"/>
            </w:pPr>
            <w:r>
              <w:t>知识产权归属和处理方式</w:t>
            </w:r>
          </w:p>
        </w:tc>
        <w:tc>
          <w:tcPr>
            <w:tcW w:w="2076" w:type="dxa"/>
          </w:tcPr>
          <w:p w14:paraId="191A9753">
            <w:pPr>
              <w:pStyle w:val="4"/>
              <w:ind w:firstLine="840"/>
              <w:jc w:val="both"/>
            </w:pPr>
            <w:r>
              <w:rPr>
                <w:rFonts w:ascii="宋体" w:hAnsi="宋体" w:eastAsia="宋体" w:cs="宋体"/>
                <w:color w:val="000000"/>
                <w:sz w:val="24"/>
                <w:shd w:val="clear" w:fill="FFFFFF"/>
              </w:rPr>
              <w:t>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 2.除非询价通知书特别规定，采购人享有本项目实施过程中产生的知识成果及知识产权。 3.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 4. 如采用供应商所不拥有的知识产权，则在报价中必须包括合法获取该知识产权的相关费用。</w:t>
            </w:r>
          </w:p>
        </w:tc>
      </w:tr>
    </w:tbl>
    <w:p w14:paraId="275B039B">
      <w:pPr>
        <w:pStyle w:val="4"/>
        <w:jc w:val="left"/>
        <w:outlineLvl w:val="3"/>
      </w:pPr>
      <w:r>
        <w:rPr>
          <w:b/>
          <w:sz w:val="24"/>
        </w:rPr>
        <w:t>3.3.2.商务要求</w:t>
      </w:r>
    </w:p>
    <w:p w14:paraId="0D726B3B">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B2C4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0901FD">
            <w:pPr>
              <w:pStyle w:val="4"/>
              <w:jc w:val="left"/>
            </w:pPr>
            <w:r>
              <w:t>序号</w:t>
            </w:r>
          </w:p>
        </w:tc>
        <w:tc>
          <w:tcPr>
            <w:tcW w:w="2076" w:type="dxa"/>
          </w:tcPr>
          <w:p w14:paraId="2CD55DBB">
            <w:pPr>
              <w:pStyle w:val="4"/>
              <w:jc w:val="left"/>
            </w:pPr>
            <w:r>
              <w:t>符号标识</w:t>
            </w:r>
          </w:p>
        </w:tc>
        <w:tc>
          <w:tcPr>
            <w:tcW w:w="2076" w:type="dxa"/>
          </w:tcPr>
          <w:p w14:paraId="1A0FF72F">
            <w:pPr>
              <w:pStyle w:val="4"/>
              <w:jc w:val="left"/>
            </w:pPr>
            <w:r>
              <w:t>商务要求名称</w:t>
            </w:r>
          </w:p>
        </w:tc>
        <w:tc>
          <w:tcPr>
            <w:tcW w:w="2076" w:type="dxa"/>
          </w:tcPr>
          <w:p w14:paraId="3FF58E8C">
            <w:pPr>
              <w:pStyle w:val="4"/>
              <w:jc w:val="left"/>
            </w:pPr>
            <w:r>
              <w:t>商务要求内容</w:t>
            </w:r>
          </w:p>
        </w:tc>
      </w:tr>
      <w:tr w14:paraId="3CFC7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26FD98">
            <w:pPr>
              <w:pStyle w:val="4"/>
              <w:jc w:val="left"/>
            </w:pPr>
            <w:r>
              <w:t>1</w:t>
            </w:r>
          </w:p>
        </w:tc>
        <w:tc>
          <w:tcPr>
            <w:tcW w:w="2076" w:type="dxa"/>
          </w:tcPr>
          <w:p w14:paraId="5DD26CA6"/>
        </w:tc>
        <w:tc>
          <w:tcPr>
            <w:tcW w:w="2076" w:type="dxa"/>
          </w:tcPr>
          <w:p w14:paraId="713605FE">
            <w:pPr>
              <w:pStyle w:val="4"/>
              <w:jc w:val="left"/>
            </w:pPr>
            <w:r>
              <w:t>交货时间</w:t>
            </w:r>
          </w:p>
        </w:tc>
        <w:tc>
          <w:tcPr>
            <w:tcW w:w="2076" w:type="dxa"/>
          </w:tcPr>
          <w:p w14:paraId="620B647D">
            <w:pPr>
              <w:pStyle w:val="4"/>
              <w:jc w:val="left"/>
            </w:pPr>
            <w:r>
              <w:t>自合同签订之日起7日</w:t>
            </w:r>
          </w:p>
        </w:tc>
      </w:tr>
      <w:tr w14:paraId="49CE5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6661373">
            <w:pPr>
              <w:pStyle w:val="4"/>
              <w:jc w:val="left"/>
            </w:pPr>
            <w:r>
              <w:t>2</w:t>
            </w:r>
          </w:p>
        </w:tc>
        <w:tc>
          <w:tcPr>
            <w:tcW w:w="2076" w:type="dxa"/>
          </w:tcPr>
          <w:p w14:paraId="75C30DC9"/>
        </w:tc>
        <w:tc>
          <w:tcPr>
            <w:tcW w:w="2076" w:type="dxa"/>
          </w:tcPr>
          <w:p w14:paraId="1F8A0C62">
            <w:pPr>
              <w:pStyle w:val="4"/>
              <w:jc w:val="left"/>
            </w:pPr>
            <w:r>
              <w:t>交货地点</w:t>
            </w:r>
          </w:p>
        </w:tc>
        <w:tc>
          <w:tcPr>
            <w:tcW w:w="2076" w:type="dxa"/>
          </w:tcPr>
          <w:p w14:paraId="085F23E2">
            <w:pPr>
              <w:pStyle w:val="4"/>
              <w:jc w:val="left"/>
            </w:pPr>
            <w:r>
              <w:t>巴中市巴州区兴文镇中心小学校</w:t>
            </w:r>
          </w:p>
        </w:tc>
      </w:tr>
      <w:tr w14:paraId="15094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B64CDF">
            <w:pPr>
              <w:pStyle w:val="4"/>
              <w:jc w:val="left"/>
            </w:pPr>
            <w:r>
              <w:t>3</w:t>
            </w:r>
          </w:p>
        </w:tc>
        <w:tc>
          <w:tcPr>
            <w:tcW w:w="2076" w:type="dxa"/>
          </w:tcPr>
          <w:p w14:paraId="158B016B"/>
        </w:tc>
        <w:tc>
          <w:tcPr>
            <w:tcW w:w="2076" w:type="dxa"/>
          </w:tcPr>
          <w:p w14:paraId="37E74CBD">
            <w:pPr>
              <w:pStyle w:val="4"/>
              <w:jc w:val="left"/>
            </w:pPr>
            <w:r>
              <w:t>支付方式</w:t>
            </w:r>
          </w:p>
        </w:tc>
        <w:tc>
          <w:tcPr>
            <w:tcW w:w="2076" w:type="dxa"/>
          </w:tcPr>
          <w:p w14:paraId="3F545A9D">
            <w:pPr>
              <w:pStyle w:val="4"/>
              <w:jc w:val="left"/>
            </w:pPr>
            <w:r>
              <w:t>分期付款</w:t>
            </w:r>
          </w:p>
        </w:tc>
      </w:tr>
      <w:tr w14:paraId="3D853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5D170C">
            <w:pPr>
              <w:pStyle w:val="4"/>
              <w:jc w:val="left"/>
            </w:pPr>
            <w:r>
              <w:t>4</w:t>
            </w:r>
          </w:p>
        </w:tc>
        <w:tc>
          <w:tcPr>
            <w:tcW w:w="2076" w:type="dxa"/>
          </w:tcPr>
          <w:p w14:paraId="2C8EE54C"/>
        </w:tc>
        <w:tc>
          <w:tcPr>
            <w:tcW w:w="2076" w:type="dxa"/>
          </w:tcPr>
          <w:p w14:paraId="47FB115B">
            <w:pPr>
              <w:pStyle w:val="4"/>
              <w:jc w:val="left"/>
            </w:pPr>
            <w:r>
              <w:t>付款进度安排</w:t>
            </w:r>
          </w:p>
        </w:tc>
        <w:tc>
          <w:tcPr>
            <w:tcW w:w="2076" w:type="dxa"/>
          </w:tcPr>
          <w:p w14:paraId="034C180B">
            <w:pPr>
              <w:pStyle w:val="4"/>
              <w:jc w:val="left"/>
            </w:pPr>
            <w:r>
              <w:t>1、合同签订后，达到付款条件起7日内，据实情况说明为支付合同总金额的40%</w:t>
            </w:r>
          </w:p>
          <w:p w14:paraId="4534B232">
            <w:pPr>
              <w:pStyle w:val="4"/>
              <w:jc w:val="left"/>
            </w:pPr>
            <w:r>
              <w:t>2、项目验收合格后，达到付款条件起7日内，据实情况说明为支付合同总金额的60%</w:t>
            </w:r>
          </w:p>
        </w:tc>
      </w:tr>
      <w:tr w14:paraId="71A13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BC730D">
            <w:pPr>
              <w:pStyle w:val="4"/>
              <w:jc w:val="left"/>
            </w:pPr>
            <w:r>
              <w:t>5</w:t>
            </w:r>
          </w:p>
        </w:tc>
        <w:tc>
          <w:tcPr>
            <w:tcW w:w="2076" w:type="dxa"/>
          </w:tcPr>
          <w:p w14:paraId="4A02EACA"/>
        </w:tc>
        <w:tc>
          <w:tcPr>
            <w:tcW w:w="2076" w:type="dxa"/>
          </w:tcPr>
          <w:p w14:paraId="354EE50C">
            <w:pPr>
              <w:pStyle w:val="4"/>
              <w:jc w:val="left"/>
            </w:pPr>
            <w:r>
              <w:t>验收、交付标准和方法</w:t>
            </w:r>
          </w:p>
        </w:tc>
        <w:tc>
          <w:tcPr>
            <w:tcW w:w="2076" w:type="dxa"/>
          </w:tcPr>
          <w:p w14:paraId="27065C85">
            <w:pPr>
              <w:pStyle w:val="4"/>
              <w:jc w:val="left"/>
            </w:pPr>
            <w:r>
              <w:t>严格按照《财政部关于进一步加强政府采购需求和履约验收管理的指导意见》(财库〔2016〕 205 号)、财政部《政府采购需求管理办法》（财库〔2021〕22号）的要求进行验收。验收标准按采购人要求的技术参数标准执行。</w:t>
            </w:r>
          </w:p>
        </w:tc>
      </w:tr>
      <w:tr w14:paraId="72536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08F761">
            <w:pPr>
              <w:pStyle w:val="4"/>
              <w:jc w:val="left"/>
            </w:pPr>
            <w:r>
              <w:t>6</w:t>
            </w:r>
          </w:p>
        </w:tc>
        <w:tc>
          <w:tcPr>
            <w:tcW w:w="2076" w:type="dxa"/>
          </w:tcPr>
          <w:p w14:paraId="248E0ADE"/>
        </w:tc>
        <w:tc>
          <w:tcPr>
            <w:tcW w:w="2076" w:type="dxa"/>
          </w:tcPr>
          <w:p w14:paraId="2495E6A5">
            <w:pPr>
              <w:pStyle w:val="4"/>
              <w:jc w:val="left"/>
            </w:pPr>
            <w:r>
              <w:t>质量保修范围和保修期</w:t>
            </w:r>
          </w:p>
        </w:tc>
        <w:tc>
          <w:tcPr>
            <w:tcW w:w="2076" w:type="dxa"/>
          </w:tcPr>
          <w:p w14:paraId="5A982A97">
            <w:pPr>
              <w:pStyle w:val="4"/>
              <w:jc w:val="left"/>
            </w:pPr>
            <w:r>
              <w:t>整体及零部件保修期3年</w:t>
            </w:r>
          </w:p>
        </w:tc>
      </w:tr>
      <w:tr w14:paraId="6ADE6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843085">
            <w:pPr>
              <w:pStyle w:val="4"/>
              <w:jc w:val="left"/>
            </w:pPr>
            <w:r>
              <w:t>7</w:t>
            </w:r>
          </w:p>
        </w:tc>
        <w:tc>
          <w:tcPr>
            <w:tcW w:w="2076" w:type="dxa"/>
          </w:tcPr>
          <w:p w14:paraId="74A46631"/>
        </w:tc>
        <w:tc>
          <w:tcPr>
            <w:tcW w:w="2076" w:type="dxa"/>
          </w:tcPr>
          <w:p w14:paraId="3873469A">
            <w:pPr>
              <w:pStyle w:val="4"/>
              <w:jc w:val="left"/>
            </w:pPr>
            <w:r>
              <w:t>违约责任与解决争议的方法</w:t>
            </w:r>
          </w:p>
        </w:tc>
        <w:tc>
          <w:tcPr>
            <w:tcW w:w="2076" w:type="dxa"/>
          </w:tcPr>
          <w:p w14:paraId="6F68036A">
            <w:pPr>
              <w:pStyle w:val="4"/>
              <w:jc w:val="left"/>
            </w:pPr>
            <w:r>
              <w:t>1、采购人违约责任 (1) 采购人逾期支付货款的，除应及时付足货款外，应向供应商偿付欠款总额万分之三/天的违约金；逾期付款超过15天的，供应商有权终止合同； (2)采购人偿付的违约金不足以弥补供应商损失的，还应按供应商损失尚未弥补的部分，支付赔偿金给供应商。 2、供应商违约责任 (1)供应商交付的货物质量不符合合同规定的，供应商应向采购人支付合同总价的百分之三十的违约金，并须在合同规定的交货时间内更换合格的货物给采购人，否则，视作供应商不能交付货物而违约，按本条本款下述第“(2)”项规定由供应商偿付违约赔偿金给采购人。 (2)供应商不能交付货物或逾 期交付货物而违约的，除应及时交足货物外，应向采购人偿付逾期交货部分货款总额的万分之三/天的违约金；逾期交货超过15天，采购人有权终止合同，供应商则应按合同总价的百分之三十的款额向采购人偿付赔偿金，并须全额退还采购人已经付给供应商的货款及其利息。 (3)供应商货物经采购人送交具有法定资格条件的质量技术监督机构检测后，如检测结果认定货物质量不符合本合同规定标准的，则视为供应商没有按时交货而违约，供应商须在15天内无条件更换合格的货物，如逾期不能更换合格的货物，采购人有权终止本合同，供应商应另付合同总价的百分之三十的赔偿金给采购人。 (4)供应商保证本合同货物的权利无瑕疵，包括货物所有权及知识产权等权利无瑕疵。如任何第三方经法院(或仲裁机构)裁决有权对上述货物主张权利或国家机关依法对货物进行没收查处的，供应商除应向采购人返还已收款项外，还应另按合同总价的百分之三十向采购人支付违约金并赔偿因此给采购人造成的一切损失。 (5)供应商偿付的违约金不足以弥补采购人损失的，还应按采购人损失尚未弥补的部分，支付赔偿金给采购人。 争议解决的方式包括协商、仲裁、诉讼等。</w:t>
            </w:r>
          </w:p>
        </w:tc>
      </w:tr>
      <w:tr w14:paraId="4D42E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3A36C4">
            <w:pPr>
              <w:pStyle w:val="4"/>
              <w:jc w:val="left"/>
            </w:pPr>
            <w:r>
              <w:t>8</w:t>
            </w:r>
          </w:p>
        </w:tc>
        <w:tc>
          <w:tcPr>
            <w:tcW w:w="2076" w:type="dxa"/>
          </w:tcPr>
          <w:p w14:paraId="1143702E"/>
        </w:tc>
        <w:tc>
          <w:tcPr>
            <w:tcW w:w="2076" w:type="dxa"/>
          </w:tcPr>
          <w:p w14:paraId="63D356C8">
            <w:pPr>
              <w:pStyle w:val="4"/>
              <w:jc w:val="left"/>
            </w:pPr>
            <w:r>
              <w:t>包装方式及运输</w:t>
            </w:r>
          </w:p>
        </w:tc>
        <w:tc>
          <w:tcPr>
            <w:tcW w:w="2076" w:type="dxa"/>
          </w:tcPr>
          <w:p w14:paraId="258863F0">
            <w:pPr>
              <w:pStyle w:val="4"/>
              <w:jc w:val="left"/>
            </w:pPr>
            <w: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60397C73">
      <w:pPr>
        <w:pStyle w:val="4"/>
        <w:jc w:val="left"/>
        <w:outlineLvl w:val="2"/>
      </w:pPr>
      <w:r>
        <w:rPr>
          <w:b/>
          <w:sz w:val="28"/>
        </w:rPr>
        <w:t>3.4.其他要求</w:t>
      </w:r>
    </w:p>
    <w:p w14:paraId="50B08E91">
      <w:pPr>
        <w:pStyle w:val="4"/>
        <w:ind w:firstLine="480"/>
        <w:jc w:val="left"/>
      </w:pPr>
      <w:r>
        <w:t>采购包1：</w:t>
      </w:r>
    </w:p>
    <w:p w14:paraId="4CFC824E">
      <w:pPr>
        <w:pStyle w:val="4"/>
        <w:jc w:val="left"/>
        <w:rPr>
          <w:rFonts w:hint="eastAsia"/>
          <w:lang w:val="en-US" w:eastAsia="zh-Hans"/>
        </w:rPr>
      </w:pPr>
      <w:r>
        <w:t>供应商签订合同时需提供询价文件中所要求的“具有CMA认证的第三方检测报告复印件并加盖供应商公章”，并提供真伪验证渠道，如不提供相关检测报告，甲方有权拒绝签订合同，供应商自行承担由此造成的一切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mZhNDA5NjAyM2QyNjliNjgxMWU3NWE4NjdhOWEifQ=="/>
  </w:docVars>
  <w:rsids>
    <w:rsidRoot w:val="53B52B8D"/>
    <w:rsid w:val="177F50ED"/>
    <w:rsid w:val="53B52B8D"/>
    <w:rsid w:val="77F79321"/>
    <w:rsid w:val="7886786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27624</Words>
  <Characters>28939</Characters>
  <Lines>0</Lines>
  <Paragraphs>0</Paragraphs>
  <TotalTime>0</TotalTime>
  <ScaleCrop>false</ScaleCrop>
  <LinksUpToDate>false</LinksUpToDate>
  <CharactersWithSpaces>29143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Lenovo</cp:lastModifiedBy>
  <dcterms:modified xsi:type="dcterms:W3CDTF">2024-09-26T04:17:44Z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901DFCE9663B4C029233FF9F94D34410_12</vt:lpwstr>
  </property>
</Properties>
</file>