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t>版本号：241011001</w:t>
      </w:r>
    </w:p>
    <w:p>
      <w:pPr>
        <w:pStyle w:val="null3"/>
        <w:jc w:val="left"/>
        <w:outlineLvl w:val="0"/>
      </w:pPr>
      <w:r>
        <w:rPr>
          <w:b/>
          <w:sz w:val="48"/>
        </w:rPr>
        <w:t>询 价 通 知 书</w:t>
      </w:r>
    </w:p>
    <w:p>
      <w:pPr>
        <w:pStyle w:val="null3"/>
        <w:jc w:val="center"/>
        <w:outlineLvl w:val="0"/>
      </w:pPr>
      <w:r>
        <w:rPr>
          <w:b/>
          <w:sz w:val="48"/>
        </w:rPr>
        <w:t>（货物类）</w:t>
      </w:r>
    </w:p>
    <w:p>
      <w:pPr>
        <w:pStyle w:val="null3"/>
        <w:jc w:val="left"/>
        <w:outlineLvl w:val="2"/>
      </w:pPr>
      <w:r>
        <w:rPr>
          <w:b/>
          <w:sz w:val="28"/>
        </w:rPr>
        <w:t>采购项目名称：</w:t>
      </w:r>
      <w:r>
        <w:rPr>
          <w:b/>
          <w:sz w:val="28"/>
        </w:rPr>
        <w:t>触控式一体机（智慧黑板）(二次)</w:t>
      </w:r>
    </w:p>
    <w:p>
      <w:pPr>
        <w:pStyle w:val="null3"/>
        <w:jc w:val="center"/>
        <w:outlineLvl w:val="2"/>
      </w:pPr>
      <w:r>
        <w:rPr>
          <w:b/>
          <w:sz w:val="28"/>
        </w:rPr>
        <w:t>采购项目编号：</w:t>
      </w:r>
      <w:r>
        <w:rPr>
          <w:b/>
          <w:sz w:val="28"/>
        </w:rPr>
        <w:t>N5119022024000090</w:t>
      </w:r>
    </w:p>
    <w:p>
      <w:pPr>
        <w:pStyle w:val="null3"/>
        <w:jc w:val="left"/>
        <w:outlineLvl w:val="2"/>
      </w:pPr>
      <w:r>
        <w:rPr>
          <w:b/>
          <w:sz w:val="28"/>
        </w:rPr>
        <w:t>巴中市巴州区兴文镇中心小学校</w:t>
      </w:r>
    </w:p>
    <w:p>
      <w:pPr>
        <w:pStyle w:val="null3"/>
        <w:jc w:val="center"/>
        <w:outlineLvl w:val="2"/>
      </w:pPr>
      <w:r>
        <w:rPr>
          <w:b/>
          <w:sz w:val="28"/>
        </w:rPr>
        <w:t>巴中市巴州区政府采购中心</w:t>
      </w:r>
      <w:r>
        <w:rPr>
          <w:b/>
          <w:sz w:val="28"/>
        </w:rPr>
        <w:t>共同编制</w:t>
      </w:r>
    </w:p>
    <w:p>
      <w:pPr>
        <w:pStyle w:val="null3"/>
        <w:jc w:val="center"/>
      </w:pPr>
      <w:r>
        <w:rPr/>
        <w:t>2024年09月23日</w:t>
      </w:r>
    </w:p>
    <w:p>
      <w:pPr>
        <w:pStyle w:val="null3"/>
      </w:pPr>
      <w:r>
        <w:rPr/>
        <w:t xml:space="preserve"> </w:t>
        <w:br/>
        <w:br w:type="page"/>
      </w:r>
    </w:p>
    <w:p>
      <w:pPr>
        <w:pStyle w:val="null3"/>
        <w:jc w:val="center"/>
        <w:outlineLvl w:val="1"/>
      </w:pPr>
      <w:r>
        <w:rPr>
          <w:b/>
          <w:sz w:val="36"/>
        </w:rPr>
        <w:t>第一章 询价邀请</w:t>
      </w:r>
    </w:p>
    <w:p>
      <w:pPr>
        <w:pStyle w:val="null3"/>
        <w:ind w:firstLine="480"/>
        <w:jc w:val="left"/>
      </w:pPr>
      <w:r>
        <w:rPr/>
        <w:t>巴中市巴州区政府采购中心</w:t>
      </w:r>
      <w:r>
        <w:rPr/>
        <w:t xml:space="preserve"> （以下简称“代理机构”）受 </w:t>
      </w:r>
      <w:r>
        <w:rPr/>
        <w:t>巴中市巴州区兴文镇中心小学校</w:t>
      </w:r>
      <w:r>
        <w:rPr/>
        <w:t xml:space="preserve"> 委托，拟对 </w:t>
      </w:r>
      <w:r>
        <w:rPr/>
        <w:t>触控式一体机（智慧黑板）(二次)</w:t>
      </w:r>
      <w:r>
        <w:rPr/>
        <w:t xml:space="preserve"> 采用询价方式进行采购，兹邀请符合资格条件的供应商参加询价。本项目为四川省</w:t>
      </w:r>
      <w:r>
        <w:rPr/>
        <w:t>巴中市巴州区</w:t>
      </w:r>
      <w:r>
        <w:rPr/>
        <w:t>政府采购项目，适用《中华人民共和国政府采购法》等法律制度规定。</w:t>
      </w:r>
    </w:p>
    <w:p>
      <w:pPr>
        <w:pStyle w:val="null3"/>
        <w:jc w:val="left"/>
        <w:outlineLvl w:val="2"/>
      </w:pPr>
      <w:r>
        <w:rPr>
          <w:b/>
          <w:sz w:val="28"/>
        </w:rPr>
        <w:t>1.1.采购项目编号</w:t>
      </w:r>
      <w:r>
        <w:rPr>
          <w:b/>
          <w:sz w:val="28"/>
        </w:rPr>
        <w:t xml:space="preserve">： </w:t>
      </w:r>
      <w:r>
        <w:rPr>
          <w:b/>
          <w:sz w:val="28"/>
        </w:rPr>
        <w:t>N5119022024000090</w:t>
      </w:r>
    </w:p>
    <w:p>
      <w:pPr>
        <w:pStyle w:val="null3"/>
        <w:jc w:val="left"/>
        <w:outlineLvl w:val="2"/>
      </w:pPr>
      <w:r>
        <w:rPr>
          <w:b/>
          <w:sz w:val="28"/>
        </w:rPr>
        <w:t>1.2.采购项目名称</w:t>
      </w:r>
      <w:r>
        <w:rPr>
          <w:b/>
          <w:sz w:val="28"/>
        </w:rPr>
        <w:t xml:space="preserve">： </w:t>
      </w:r>
      <w:r>
        <w:rPr>
          <w:b/>
          <w:sz w:val="28"/>
        </w:rPr>
        <w:t>触控式一体机（智慧黑板）(二次)</w:t>
      </w:r>
    </w:p>
    <w:p>
      <w:pPr>
        <w:pStyle w:val="null3"/>
        <w:jc w:val="left"/>
        <w:outlineLvl w:val="2"/>
      </w:pPr>
      <w:r>
        <w:rPr>
          <w:b/>
          <w:sz w:val="28"/>
        </w:rPr>
        <w:t>1.3.采购项目简介</w:t>
      </w:r>
    </w:p>
    <w:p>
      <w:pPr>
        <w:pStyle w:val="null3"/>
        <w:ind w:firstLine="480"/>
        <w:jc w:val="left"/>
      </w:pPr>
      <w:r>
        <w:rPr/>
        <w:t>根据学校发展及教育教学需要拟购置智慧黑板一批。</w:t>
      </w:r>
    </w:p>
    <w:p>
      <w:pPr>
        <w:pStyle w:val="null3"/>
        <w:jc w:val="left"/>
        <w:outlineLvl w:val="2"/>
      </w:pPr>
      <w:r>
        <w:rPr>
          <w:b/>
          <w:sz w:val="28"/>
        </w:rPr>
        <w:t>1.4.邀请供应商方式</w:t>
      </w:r>
    </w:p>
    <w:p>
      <w:pPr>
        <w:pStyle w:val="null3"/>
        <w:ind w:firstLine="480"/>
        <w:jc w:val="left"/>
      </w:pPr>
      <w:r>
        <w:rPr/>
        <w:t xml:space="preserve"> 本项目以发布公告的方式邀请供应商参加询价。公告在四川政府采购网（www.ccgp-sichuan.gov.cn）发布。</w:t>
      </w:r>
    </w:p>
    <w:p>
      <w:pPr>
        <w:pStyle w:val="null3"/>
        <w:jc w:val="left"/>
        <w:outlineLvl w:val="2"/>
      </w:pPr>
      <w:r>
        <w:rPr>
          <w:b/>
          <w:sz w:val="28"/>
        </w:rPr>
        <w:t>1.5.供应商参加本次政府采购活动应具备的条件</w:t>
      </w:r>
    </w:p>
    <w:p>
      <w:pPr>
        <w:pStyle w:val="null3"/>
        <w:ind w:firstLine="480"/>
        <w:jc w:val="left"/>
      </w:pPr>
      <w:r>
        <w:rPr/>
        <w:t>根据《中华人民共和国政府采购法》第二十二条规定，供应商应当具备下列条件：</w:t>
      </w:r>
    </w:p>
    <w:p>
      <w:pPr>
        <w:pStyle w:val="null3"/>
        <w:ind w:firstLine="480"/>
        <w:jc w:val="left"/>
      </w:pPr>
      <w:r>
        <w:rPr/>
        <w:t>一、需要满足的一般资格要求：</w:t>
      </w:r>
    </w:p>
    <w:p>
      <w:pPr>
        <w:pStyle w:val="null3"/>
        <w:ind w:firstLine="480"/>
        <w:jc w:val="left"/>
      </w:pPr>
      <w:r>
        <w:rPr/>
        <w:t>（一）具有独立承担民事责任的能力；</w:t>
      </w:r>
    </w:p>
    <w:p>
      <w:pPr>
        <w:pStyle w:val="null3"/>
        <w:ind w:firstLine="480"/>
        <w:jc w:val="left"/>
      </w:pPr>
      <w:r>
        <w:rPr/>
        <w:t>（二）具有良好的商业信誉和健全的财务会计制度；</w:t>
      </w:r>
    </w:p>
    <w:p>
      <w:pPr>
        <w:pStyle w:val="null3"/>
        <w:ind w:firstLine="480"/>
        <w:jc w:val="left"/>
      </w:pPr>
      <w:r>
        <w:rPr/>
        <w:t>（三）具有履行合同所必需的设备和专业技术能力；</w:t>
      </w:r>
    </w:p>
    <w:p>
      <w:pPr>
        <w:pStyle w:val="null3"/>
        <w:ind w:firstLine="480"/>
        <w:jc w:val="left"/>
      </w:pPr>
      <w:r>
        <w:rPr/>
        <w:t>（四）有依法缴纳税收和社会保障资金的良好记录；</w:t>
      </w:r>
    </w:p>
    <w:p>
      <w:pPr>
        <w:pStyle w:val="null3"/>
        <w:ind w:firstLine="480"/>
        <w:jc w:val="left"/>
      </w:pPr>
      <w:r>
        <w:rPr/>
        <w:t>（五）参加政府采购活动前三年内，在经营活动中没有重大违法记录。</w:t>
      </w:r>
    </w:p>
    <w:p>
      <w:pPr>
        <w:pStyle w:val="null3"/>
        <w:ind w:firstLine="480"/>
        <w:jc w:val="left"/>
      </w:pPr>
      <w:r>
        <w:rPr/>
        <w:t>二、落实政府采购政策需满足的资格要求：</w:t>
      </w:r>
    </w:p>
    <w:p>
      <w:pPr>
        <w:pStyle w:val="null3"/>
        <w:ind w:firstLine="480"/>
        <w:jc w:val="left"/>
      </w:pPr>
      <w:r>
        <w:rPr/>
        <w:t>采购包1：无。</w:t>
      </w:r>
    </w:p>
    <w:p>
      <w:pPr>
        <w:pStyle w:val="null3"/>
        <w:ind w:firstLine="480"/>
        <w:jc w:val="left"/>
      </w:pPr>
      <w:r>
        <w:rPr/>
        <w:t>三、本项目的特定资格要求：</w:t>
      </w:r>
    </w:p>
    <w:p>
      <w:pPr>
        <w:pStyle w:val="null3"/>
        <w:ind w:firstLine="480"/>
        <w:jc w:val="left"/>
      </w:pPr>
      <w:r>
        <w:rPr/>
        <w:t>无</w:t>
      </w:r>
    </w:p>
    <w:p>
      <w:pPr>
        <w:pStyle w:val="null3"/>
        <w:jc w:val="left"/>
        <w:outlineLvl w:val="2"/>
      </w:pPr>
      <w:r>
        <w:rPr>
          <w:b/>
          <w:sz w:val="28"/>
        </w:rPr>
        <w:t>1.6.电子化采购相关事项</w:t>
      </w:r>
    </w:p>
    <w:p>
      <w:pPr>
        <w:pStyle w:val="null3"/>
        <w:ind w:firstLine="480"/>
        <w:jc w:val="left"/>
      </w:pPr>
      <w:r>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t>供应商应当加强数字证书和电子印章的日常校验和保管，确保在参加采购活动期间能够正常使用，严格授权管理，防止非授权操作。</w:t>
      </w:r>
    </w:p>
    <w:p>
      <w:pPr>
        <w:pStyle w:val="null3"/>
        <w:ind w:firstLine="480"/>
        <w:jc w:val="left"/>
      </w:pPr>
      <w:r>
        <w:rPr/>
        <w:t>三、供应商应当自行准备电子化采购所需的计算机终端、软硬件及网络环境，承担因准备不足产生的不利后果。</w:t>
      </w:r>
    </w:p>
    <w:p>
      <w:pPr>
        <w:pStyle w:val="null3"/>
        <w:ind w:firstLine="480"/>
        <w:jc w:val="left"/>
      </w:pPr>
      <w:r>
        <w:rPr/>
        <w:t>四、采购平台技术支持：</w:t>
      </w:r>
    </w:p>
    <w:p>
      <w:pPr>
        <w:pStyle w:val="null3"/>
        <w:ind w:firstLine="480"/>
        <w:jc w:val="left"/>
      </w:pPr>
      <w:r>
        <w:rPr/>
        <w:t>在线客服：通过四川政府采购网-在线客服进行咨询</w:t>
      </w:r>
    </w:p>
    <w:p>
      <w:pPr>
        <w:pStyle w:val="null3"/>
        <w:ind w:firstLine="480"/>
        <w:jc w:val="left"/>
      </w:pPr>
      <w:r>
        <w:rPr/>
        <w:t>400服务电话：4001600900</w:t>
      </w:r>
    </w:p>
    <w:p>
      <w:pPr>
        <w:pStyle w:val="null3"/>
        <w:ind w:firstLine="480"/>
        <w:jc w:val="left"/>
      </w:pPr>
      <w:r>
        <w:rPr/>
        <w:t>CA及签章服务：通过四川政府采购网-办事指南进行查询。</w:t>
      </w:r>
    </w:p>
    <w:p>
      <w:pPr>
        <w:pStyle w:val="null3"/>
        <w:jc w:val="left"/>
        <w:outlineLvl w:val="2"/>
      </w:pPr>
      <w:r>
        <w:rPr>
          <w:b/>
          <w:sz w:val="28"/>
        </w:rPr>
        <w:t>1.7.询价通知书获取时间、方式及地址</w:t>
      </w:r>
    </w:p>
    <w:p>
      <w:pPr>
        <w:pStyle w:val="null3"/>
        <w:ind w:firstLine="480"/>
        <w:jc w:val="left"/>
      </w:pPr>
      <w:r>
        <w:rPr/>
        <w:t xml:space="preserve">一、询价通知书获取时间： </w:t>
      </w:r>
      <w:r>
        <w:rPr/>
        <w:t>详见采购公告</w:t>
      </w:r>
    </w:p>
    <w:p>
      <w:pPr>
        <w:pStyle w:val="null3"/>
        <w:ind w:firstLine="480"/>
        <w:jc w:val="left"/>
      </w:pPr>
      <w:r>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t>注：获取的询价通知书由正文和附件组成，正文部分包括pdf、word两种格式版本，如内容有不一致的，以pdf格式内容为准。</w:t>
      </w:r>
    </w:p>
    <w:p>
      <w:pPr>
        <w:pStyle w:val="null3"/>
        <w:jc w:val="left"/>
        <w:outlineLvl w:val="2"/>
      </w:pPr>
      <w:r>
        <w:rPr>
          <w:b/>
          <w:sz w:val="28"/>
        </w:rPr>
        <w:t>1.8.提交响应文件截止时间及开启时间、方式、地点</w:t>
      </w:r>
    </w:p>
    <w:p>
      <w:pPr>
        <w:pStyle w:val="null3"/>
        <w:ind w:firstLine="480"/>
        <w:jc w:val="left"/>
      </w:pPr>
      <w:r>
        <w:rPr/>
        <w:t xml:space="preserve">一、响应文件提交截止时间及开启时间： </w:t>
      </w:r>
      <w:r>
        <w:rPr/>
        <w:t>详见采购公告</w:t>
      </w:r>
    </w:p>
    <w:p>
      <w:pPr>
        <w:pStyle w:val="null3"/>
        <w:ind w:firstLine="480"/>
        <w:jc w:val="left"/>
      </w:pPr>
      <w:r>
        <w:rPr/>
        <w:t>二、提交响应文件方式、地点：供应商应当在提交响应文件截止时间前，通过交易系统提交响应文件。成功提交的，供应商将收到已提交响应文件的回执单。</w:t>
      </w:r>
    </w:p>
    <w:p>
      <w:pPr>
        <w:pStyle w:val="null3"/>
        <w:ind w:firstLine="480"/>
        <w:jc w:val="left"/>
      </w:pPr>
      <w:r>
        <w:rPr/>
        <w:t>三、本项目采取网上开启，采购人或者代理机构通过交易系统“开标/开启大厅”组织在线开启。</w:t>
      </w:r>
    </w:p>
    <w:p>
      <w:pPr>
        <w:pStyle w:val="null3"/>
        <w:jc w:val="left"/>
        <w:outlineLvl w:val="2"/>
      </w:pPr>
      <w:r>
        <w:rPr>
          <w:b/>
          <w:sz w:val="28"/>
        </w:rPr>
        <w:t>1.9.供应商信用融资</w:t>
      </w:r>
    </w:p>
    <w:p>
      <w:pPr>
        <w:pStyle w:val="null3"/>
        <w:ind w:firstLine="480"/>
        <w:jc w:val="left"/>
      </w:pPr>
      <w:r>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b/>
          <w:sz w:val="28"/>
        </w:rPr>
        <w:t>1.10.联系方式</w:t>
      </w:r>
    </w:p>
    <w:p>
      <w:pPr>
        <w:pStyle w:val="null3"/>
        <w:ind w:firstLine="480"/>
        <w:jc w:val="left"/>
      </w:pPr>
      <w:r>
        <w:rPr>
          <w:b/>
        </w:rPr>
        <w:t>采购人</w:t>
      </w:r>
      <w:r>
        <w:rPr>
          <w:b/>
        </w:rPr>
        <w:t xml:space="preserve">： </w:t>
      </w:r>
      <w:r>
        <w:rPr>
          <w:b/>
        </w:rPr>
        <w:t>巴中市巴州区兴文镇中心小学校</w:t>
      </w:r>
    </w:p>
    <w:p>
      <w:pPr>
        <w:pStyle w:val="null3"/>
        <w:ind w:firstLine="480"/>
        <w:jc w:val="left"/>
      </w:pPr>
      <w:r>
        <w:rPr/>
        <w:t xml:space="preserve"> 地址： </w:t>
      </w:r>
      <w:r>
        <w:rPr/>
        <w:t>巴中经开区中角街1号</w:t>
      </w:r>
    </w:p>
    <w:p>
      <w:pPr>
        <w:pStyle w:val="null3"/>
        <w:jc w:val="left"/>
      </w:pPr>
      <w:r>
        <w:rPr/>
        <w:t xml:space="preserve"> 邮编： </w:t>
      </w:r>
      <w:r>
        <w:rPr/>
        <w:t>636024</w:t>
      </w:r>
    </w:p>
    <w:p>
      <w:pPr>
        <w:pStyle w:val="null3"/>
        <w:jc w:val="left"/>
      </w:pPr>
      <w:r>
        <w:rPr/>
        <w:t xml:space="preserve"> 联系人： </w:t>
      </w:r>
      <w:r>
        <w:rPr/>
        <w:t>王靖林</w:t>
      </w:r>
    </w:p>
    <w:p>
      <w:pPr>
        <w:pStyle w:val="null3"/>
        <w:jc w:val="left"/>
      </w:pPr>
      <w:r>
        <w:rPr/>
        <w:t xml:space="preserve"> 联系电话： </w:t>
      </w:r>
      <w:r>
        <w:rPr/>
        <w:t>15983989697</w:t>
      </w:r>
    </w:p>
    <w:p>
      <w:pPr>
        <w:pStyle w:val="null3"/>
        <w:ind w:firstLine="480"/>
        <w:jc w:val="left"/>
      </w:pPr>
      <w:r>
        <w:rPr>
          <w:b/>
        </w:rPr>
        <w:t>代理机构</w:t>
      </w:r>
      <w:r>
        <w:rPr>
          <w:b/>
        </w:rPr>
        <w:t xml:space="preserve">： </w:t>
      </w:r>
      <w:r>
        <w:rPr>
          <w:b/>
        </w:rPr>
        <w:t>巴中市巴州区政府采购中心</w:t>
      </w:r>
    </w:p>
    <w:p>
      <w:pPr>
        <w:pStyle w:val="null3"/>
        <w:ind w:firstLine="480"/>
        <w:jc w:val="left"/>
      </w:pPr>
      <w:r>
        <w:rPr/>
        <w:t xml:space="preserve"> 地址： </w:t>
      </w:r>
      <w:r>
        <w:rPr/>
        <w:t>四川省巴中市巴州区广场街67号</w:t>
      </w:r>
    </w:p>
    <w:p>
      <w:pPr>
        <w:pStyle w:val="null3"/>
        <w:jc w:val="left"/>
      </w:pPr>
      <w:r>
        <w:rPr/>
        <w:t xml:space="preserve"> 邮编： </w:t>
      </w:r>
      <w:r>
        <w:rPr/>
        <w:t>636000</w:t>
      </w:r>
    </w:p>
    <w:p>
      <w:pPr>
        <w:pStyle w:val="null3"/>
        <w:jc w:val="left"/>
      </w:pPr>
      <w:r>
        <w:rPr/>
        <w:t xml:space="preserve"> 联系人： </w:t>
      </w:r>
      <w:r>
        <w:rPr/>
        <w:t>交易受理股（0827-8668810）</w:t>
      </w:r>
    </w:p>
    <w:p>
      <w:pPr>
        <w:pStyle w:val="null3"/>
        <w:jc w:val="left"/>
      </w:pPr>
      <w:r>
        <w:rPr/>
        <w:t xml:space="preserve"> 联系电话： </w:t>
      </w:r>
      <w:r>
        <w:rPr/>
        <w:t>交易组织股（0827-8668811）、现场监督股（0827-8668812）</w:t>
      </w:r>
    </w:p>
    <w:p>
      <w:pPr>
        <w:pStyle w:val="null3"/>
      </w:pPr>
      <w:r>
        <w:rPr/>
        <w:t xml:space="preserve"> </w:t>
        <w:br/>
        <w:br w:type="page"/>
      </w:r>
    </w:p>
    <w:p>
      <w:pPr>
        <w:pStyle w:val="null3"/>
        <w:jc w:val="center"/>
        <w:outlineLvl w:val="1"/>
      </w:pPr>
      <w:r>
        <w:rPr>
          <w:b/>
          <w:sz w:val="36"/>
        </w:rPr>
        <w:t>第二章 供应商须知</w:t>
      </w:r>
    </w:p>
    <w:p>
      <w:pPr>
        <w:pStyle w:val="null3"/>
        <w:jc w:val="left"/>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t>序号</w:t>
            </w:r>
          </w:p>
        </w:tc>
        <w:tc>
          <w:tcPr>
            <w:tcW w:type="dxa" w:w="2252"/>
          </w:tcPr>
          <w:p>
            <w:pPr>
              <w:pStyle w:val="null3"/>
              <w:jc w:val="left"/>
            </w:pPr>
            <w:r>
              <w:rPr/>
              <w:t>应知事项</w:t>
            </w:r>
          </w:p>
        </w:tc>
        <w:tc>
          <w:tcPr>
            <w:tcW w:type="dxa" w:w="5004"/>
          </w:tcPr>
          <w:p>
            <w:pPr>
              <w:pStyle w:val="null3"/>
              <w:jc w:val="left"/>
            </w:pPr>
            <w:r>
              <w:rPr/>
              <w:t>说明和要求</w:t>
            </w:r>
          </w:p>
        </w:tc>
      </w:tr>
      <w:tr>
        <w:tc>
          <w:tcPr>
            <w:tcW w:type="dxa" w:w="1051"/>
          </w:tcPr>
          <w:p>
            <w:pPr>
              <w:pStyle w:val="null3"/>
              <w:jc w:val="left"/>
            </w:pPr>
            <w:r>
              <w:rPr/>
              <w:t>1</w:t>
            </w:r>
          </w:p>
        </w:tc>
        <w:tc>
          <w:tcPr>
            <w:tcW w:type="dxa" w:w="2252"/>
          </w:tcPr>
          <w:p>
            <w:pPr>
              <w:pStyle w:val="null3"/>
              <w:jc w:val="left"/>
            </w:pPr>
            <w:r>
              <w:rPr/>
              <w:t>采购预算及最高限价★</w:t>
            </w:r>
          </w:p>
        </w:tc>
        <w:tc>
          <w:tcPr>
            <w:tcW w:type="dxa" w:w="5004"/>
          </w:tcPr>
          <w:p>
            <w:pPr>
              <w:pStyle w:val="null3"/>
              <w:jc w:val="left"/>
            </w:pPr>
            <w:r>
              <w:rPr/>
              <w:t>本项目各包采购预算金额如下：</w:t>
            </w:r>
          </w:p>
          <w:p>
            <w:pPr>
              <w:pStyle w:val="null3"/>
              <w:jc w:val="left"/>
            </w:pPr>
            <w:r>
              <w:rPr/>
              <w:t>采购包1：352,000.00元</w:t>
            </w:r>
          </w:p>
          <w:p>
            <w:pPr>
              <w:pStyle w:val="null3"/>
              <w:jc w:val="left"/>
            </w:pPr>
            <w:r>
              <w:rPr/>
              <w:t>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t>2</w:t>
            </w:r>
          </w:p>
        </w:tc>
        <w:tc>
          <w:tcPr>
            <w:tcW w:type="dxa" w:w="2252"/>
          </w:tcPr>
          <w:p>
            <w:pPr>
              <w:pStyle w:val="null3"/>
              <w:jc w:val="left"/>
            </w:pPr>
            <w:r>
              <w:rPr/>
              <w:t>评审方法</w:t>
            </w:r>
          </w:p>
        </w:tc>
        <w:tc>
          <w:tcPr>
            <w:tcW w:type="dxa" w:w="5004"/>
          </w:tcPr>
          <w:p>
            <w:pPr>
              <w:pStyle w:val="null3"/>
              <w:jc w:val="left"/>
            </w:pPr>
            <w:r>
              <w:rPr/>
              <w:t>最低评标价法（具体规则详见第四章）</w:t>
            </w:r>
          </w:p>
        </w:tc>
      </w:tr>
      <w:tr>
        <w:tc>
          <w:tcPr>
            <w:tcW w:type="dxa" w:w="1051"/>
          </w:tcPr>
          <w:p>
            <w:pPr>
              <w:pStyle w:val="null3"/>
              <w:jc w:val="left"/>
            </w:pPr>
            <w:r>
              <w:rPr/>
              <w:t>3</w:t>
            </w:r>
          </w:p>
        </w:tc>
        <w:tc>
          <w:tcPr>
            <w:tcW w:type="dxa" w:w="2252"/>
          </w:tcPr>
          <w:p>
            <w:pPr>
              <w:pStyle w:val="null3"/>
              <w:jc w:val="left"/>
            </w:pPr>
            <w:r>
              <w:rPr/>
              <w:t>是否接受联合体★</w:t>
            </w:r>
          </w:p>
        </w:tc>
        <w:tc>
          <w:tcPr>
            <w:tcW w:type="dxa" w:w="5004"/>
          </w:tcPr>
          <w:p>
            <w:pPr>
              <w:pStyle w:val="null3"/>
              <w:jc w:val="left"/>
            </w:pPr>
            <w:r>
              <w:rPr/>
              <w:t>采购包1：不接受联合体</w:t>
            </w:r>
          </w:p>
          <w:p>
            <w:pPr>
              <w:pStyle w:val="null3"/>
              <w:jc w:val="left"/>
            </w:pPr>
            <w:r>
              <w:rPr/>
              <w:t>如接受联合体，需符合以下要求：</w:t>
            </w:r>
          </w:p>
          <w:p>
            <w:pPr>
              <w:pStyle w:val="null3"/>
              <w:jc w:val="left"/>
            </w:pPr>
            <w:r>
              <w:rPr/>
              <w:t>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t>三、联合体各方应当共同与采购人签订采购合同，就采购合同约定的事项对采购人承担连带责任。</w:t>
            </w:r>
          </w:p>
        </w:tc>
      </w:tr>
      <w:tr>
        <w:tc>
          <w:tcPr>
            <w:tcW w:type="dxa" w:w="1051"/>
          </w:tcPr>
          <w:p>
            <w:pPr>
              <w:pStyle w:val="null3"/>
              <w:jc w:val="left"/>
            </w:pPr>
            <w:r>
              <w:rPr/>
              <w:t>4</w:t>
            </w:r>
          </w:p>
        </w:tc>
        <w:tc>
          <w:tcPr>
            <w:tcW w:type="dxa" w:w="2252"/>
          </w:tcPr>
          <w:p>
            <w:pPr>
              <w:pStyle w:val="null3"/>
              <w:jc w:val="left"/>
            </w:pPr>
            <w:r>
              <w:rPr/>
              <w:t>投标（响应）保证金★</w:t>
            </w:r>
          </w:p>
        </w:tc>
        <w:tc>
          <w:tcPr>
            <w:tcW w:type="dxa" w:w="5004"/>
          </w:tcPr>
          <w:p>
            <w:pPr>
              <w:pStyle w:val="null3"/>
              <w:jc w:val="left"/>
            </w:pPr>
            <w:r>
              <w:rPr/>
              <w:t>本项目不收取投标（响应）保证金。</w:t>
            </w:r>
          </w:p>
        </w:tc>
      </w:tr>
      <w:tr>
        <w:tc>
          <w:tcPr>
            <w:tcW w:type="dxa" w:w="1051"/>
          </w:tcPr>
          <w:p>
            <w:pPr>
              <w:pStyle w:val="null3"/>
              <w:jc w:val="left"/>
            </w:pPr>
            <w:r>
              <w:rPr/>
              <w:t>5</w:t>
            </w:r>
          </w:p>
        </w:tc>
        <w:tc>
          <w:tcPr>
            <w:tcW w:type="dxa" w:w="2252"/>
          </w:tcPr>
          <w:p>
            <w:pPr>
              <w:pStyle w:val="null3"/>
              <w:jc w:val="left"/>
            </w:pPr>
            <w:r>
              <w:rPr/>
              <w:t>履约保证金★</w:t>
            </w:r>
          </w:p>
        </w:tc>
        <w:tc>
          <w:tcPr>
            <w:tcW w:type="dxa" w:w="5004"/>
          </w:tcPr>
          <w:p>
            <w:pPr>
              <w:pStyle w:val="null3"/>
              <w:jc w:val="left"/>
            </w:pPr>
            <w:r>
              <w:rPr/>
              <w:t>采购包1：不收取</w:t>
            </w:r>
          </w:p>
        </w:tc>
      </w:tr>
      <w:tr>
        <w:tc>
          <w:tcPr>
            <w:tcW w:type="dxa" w:w="1051"/>
          </w:tcPr>
          <w:p>
            <w:pPr>
              <w:pStyle w:val="null3"/>
              <w:jc w:val="left"/>
            </w:pPr>
            <w:r>
              <w:rPr/>
              <w:t>6</w:t>
            </w:r>
          </w:p>
        </w:tc>
        <w:tc>
          <w:tcPr>
            <w:tcW w:type="dxa" w:w="2252"/>
          </w:tcPr>
          <w:p>
            <w:pPr>
              <w:pStyle w:val="null3"/>
              <w:jc w:val="left"/>
            </w:pPr>
            <w:r>
              <w:rPr/>
              <w:t>响应有效期★</w:t>
            </w:r>
          </w:p>
        </w:tc>
        <w:tc>
          <w:tcPr>
            <w:tcW w:type="dxa" w:w="5004"/>
          </w:tcPr>
          <w:p>
            <w:pPr>
              <w:pStyle w:val="null3"/>
              <w:jc w:val="left"/>
            </w:pPr>
            <w:r>
              <w:rPr/>
              <w:t xml:space="preserve">提交响应文件的截止之日起不少于 </w:t>
            </w:r>
            <w:r>
              <w:rPr/>
              <w:t>90</w:t>
            </w:r>
            <w:r>
              <w:rPr/>
              <w:t xml:space="preserve"> 天。响应文件未明确响应有效期或者少于前述规定天数的，其响应文件按无效处理。</w:t>
            </w:r>
          </w:p>
        </w:tc>
      </w:tr>
      <w:tr>
        <w:tc>
          <w:tcPr>
            <w:tcW w:type="dxa" w:w="1051"/>
          </w:tcPr>
          <w:p>
            <w:pPr>
              <w:pStyle w:val="null3"/>
              <w:jc w:val="left"/>
            </w:pPr>
            <w:r>
              <w:rPr/>
              <w:t>7</w:t>
            </w:r>
          </w:p>
        </w:tc>
        <w:tc>
          <w:tcPr>
            <w:tcW w:type="dxa" w:w="2252"/>
          </w:tcPr>
          <w:p>
            <w:pPr>
              <w:pStyle w:val="null3"/>
              <w:jc w:val="left"/>
            </w:pPr>
            <w:r>
              <w:rPr/>
              <w:t>代理服务费★</w:t>
            </w:r>
          </w:p>
        </w:tc>
        <w:tc>
          <w:tcPr>
            <w:tcW w:type="dxa" w:w="5004"/>
          </w:tcPr>
          <w:p>
            <w:pPr>
              <w:pStyle w:val="null3"/>
              <w:jc w:val="left"/>
            </w:pPr>
            <w:r>
              <w:rPr/>
              <w:t>本项目不收取代理服务费</w:t>
            </w:r>
          </w:p>
        </w:tc>
      </w:tr>
      <w:tr>
        <w:tc>
          <w:tcPr>
            <w:tcW w:type="dxa" w:w="1051"/>
          </w:tcPr>
          <w:p>
            <w:pPr>
              <w:pStyle w:val="null3"/>
              <w:jc w:val="left"/>
            </w:pPr>
            <w:r>
              <w:rPr/>
              <w:t>8</w:t>
            </w:r>
          </w:p>
        </w:tc>
        <w:tc>
          <w:tcPr>
            <w:tcW w:type="dxa" w:w="2252"/>
          </w:tcPr>
          <w:p>
            <w:pPr>
              <w:pStyle w:val="null3"/>
              <w:jc w:val="left"/>
            </w:pPr>
            <w:r>
              <w:rPr/>
              <w:t>采购结果公告</w:t>
            </w:r>
          </w:p>
        </w:tc>
        <w:tc>
          <w:tcPr>
            <w:tcW w:type="dxa" w:w="5004"/>
          </w:tcPr>
          <w:p>
            <w:pPr>
              <w:pStyle w:val="null3"/>
              <w:jc w:val="left"/>
            </w:pPr>
            <w:r>
              <w:rPr/>
              <w:t>采购结果将在四川政府采购网予以公告。</w:t>
            </w:r>
          </w:p>
        </w:tc>
      </w:tr>
      <w:tr>
        <w:tc>
          <w:tcPr>
            <w:tcW w:type="dxa" w:w="1051"/>
          </w:tcPr>
          <w:p>
            <w:pPr>
              <w:pStyle w:val="null3"/>
              <w:jc w:val="left"/>
            </w:pPr>
            <w:r>
              <w:rPr/>
              <w:t>9</w:t>
            </w:r>
          </w:p>
        </w:tc>
        <w:tc>
          <w:tcPr>
            <w:tcW w:type="dxa" w:w="2252"/>
          </w:tcPr>
          <w:p>
            <w:pPr>
              <w:pStyle w:val="null3"/>
              <w:jc w:val="left"/>
            </w:pPr>
            <w:r>
              <w:rPr/>
              <w:t>是否组织潜在供应商现场考察</w:t>
            </w:r>
          </w:p>
        </w:tc>
        <w:tc>
          <w:tcPr>
            <w:tcW w:type="dxa" w:w="5004"/>
          </w:tcPr>
          <w:p>
            <w:pPr>
              <w:pStyle w:val="null3"/>
              <w:jc w:val="left"/>
            </w:pPr>
            <w:r>
              <w:rPr/>
              <w:t>采购包1：否</w:t>
            </w:r>
          </w:p>
        </w:tc>
      </w:tr>
      <w:tr>
        <w:tc>
          <w:tcPr>
            <w:tcW w:type="dxa" w:w="1051"/>
          </w:tcPr>
          <w:p>
            <w:pPr>
              <w:pStyle w:val="null3"/>
              <w:jc w:val="left"/>
            </w:pPr>
            <w:r>
              <w:rPr/>
              <w:t>10</w:t>
            </w:r>
          </w:p>
        </w:tc>
        <w:tc>
          <w:tcPr>
            <w:tcW w:type="dxa" w:w="2252"/>
          </w:tcPr>
          <w:p>
            <w:pPr>
              <w:pStyle w:val="null3"/>
              <w:jc w:val="left"/>
            </w:pPr>
            <w:r>
              <w:rPr/>
              <w:t>是否召开采购前答疑会</w:t>
            </w:r>
          </w:p>
        </w:tc>
        <w:tc>
          <w:tcPr>
            <w:tcW w:type="dxa" w:w="5004"/>
          </w:tcPr>
          <w:p>
            <w:pPr>
              <w:pStyle w:val="null3"/>
              <w:jc w:val="left"/>
            </w:pPr>
            <w:r>
              <w:rPr/>
              <w:t>否</w:t>
            </w:r>
          </w:p>
        </w:tc>
      </w:tr>
      <w:tr>
        <w:tc>
          <w:tcPr>
            <w:tcW w:type="dxa" w:w="1051"/>
          </w:tcPr>
          <w:p>
            <w:pPr>
              <w:pStyle w:val="null3"/>
              <w:jc w:val="left"/>
            </w:pPr>
            <w:r>
              <w:rPr/>
              <w:t>11</w:t>
            </w:r>
          </w:p>
        </w:tc>
        <w:tc>
          <w:tcPr>
            <w:tcW w:type="dxa" w:w="2252"/>
          </w:tcPr>
          <w:p>
            <w:pPr>
              <w:pStyle w:val="null3"/>
              <w:jc w:val="left"/>
            </w:pPr>
            <w:r>
              <w:rPr/>
              <w:t>特殊情况</w:t>
            </w:r>
          </w:p>
        </w:tc>
        <w:tc>
          <w:tcPr>
            <w:tcW w:type="dxa" w:w="5004"/>
          </w:tcPr>
          <w:p>
            <w:pPr>
              <w:pStyle w:val="null3"/>
              <w:jc w:val="left"/>
            </w:pPr>
            <w:r>
              <w:rPr/>
              <w:t>出现下列情形之一的，采购人或者代理机构应当中止电子化采购活动，并保留相关证明材料备查：</w:t>
            </w:r>
          </w:p>
          <w:p>
            <w:pPr>
              <w:pStyle w:val="null3"/>
              <w:jc w:val="left"/>
            </w:pPr>
            <w:r>
              <w:rPr/>
              <w:t>一、交易系统发生故障（包括感染病毒、应用或数据库出错）而无法正常使用的；</w:t>
            </w:r>
          </w:p>
          <w:p>
            <w:pPr>
              <w:pStyle w:val="null3"/>
              <w:jc w:val="left"/>
            </w:pPr>
            <w:r>
              <w:rPr/>
              <w:t>二、因组织场所停电、断网等原因，导致采购活动无法继续通过交易系统实施的；</w:t>
            </w:r>
          </w:p>
          <w:p>
            <w:pPr>
              <w:pStyle w:val="null3"/>
              <w:jc w:val="left"/>
            </w:pPr>
            <w:r>
              <w:rPr/>
              <w:t>三、其他无法保证电子化交易的公平、公正和安全的情况。</w:t>
            </w:r>
          </w:p>
          <w:p>
            <w:pPr>
              <w:pStyle w:val="null3"/>
              <w:jc w:val="left"/>
            </w:pPr>
            <w:r>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t>注：</w:t>
            </w:r>
          </w:p>
          <w:p>
            <w:pPr>
              <w:pStyle w:val="null3"/>
              <w:jc w:val="left"/>
            </w:pPr>
            <w:r>
              <w:rPr/>
              <w:t>1.平台系统故障认定以四川政府采购网发布的系统运维通知内容为准；</w:t>
            </w:r>
          </w:p>
          <w:p>
            <w:pPr>
              <w:pStyle w:val="null3"/>
              <w:jc w:val="left"/>
            </w:pPr>
            <w:r>
              <w:rPr/>
              <w:t>2.故障处理详见第二章规定。</w:t>
            </w:r>
          </w:p>
        </w:tc>
      </w:tr>
      <w:tr>
        <w:tc>
          <w:tcPr>
            <w:tcW w:type="dxa" w:w="1051"/>
          </w:tcPr>
          <w:p>
            <w:pPr>
              <w:pStyle w:val="null3"/>
              <w:jc w:val="left"/>
            </w:pPr>
            <w:r>
              <w:rPr/>
              <w:t>12</w:t>
            </w:r>
          </w:p>
        </w:tc>
        <w:tc>
          <w:tcPr>
            <w:tcW w:type="dxa" w:w="2252"/>
          </w:tcPr>
          <w:p>
            <w:pPr>
              <w:pStyle w:val="null3"/>
              <w:jc w:val="left"/>
            </w:pPr>
            <w:r>
              <w:rPr/>
              <w:t>报价/分值精确度</w:t>
            </w:r>
          </w:p>
        </w:tc>
        <w:tc>
          <w:tcPr>
            <w:tcW w:type="dxa" w:w="5004"/>
          </w:tcPr>
          <w:p>
            <w:pPr>
              <w:pStyle w:val="null3"/>
              <w:jc w:val="left"/>
            </w:pPr>
            <w:r>
              <w:rPr/>
              <w:t>所有数据项默认最多可输入/展示至小数点后2位，超出小数点位的数值采用四舍五入的方式进行保留。</w:t>
            </w:r>
          </w:p>
        </w:tc>
      </w:tr>
      <w:tr>
        <w:tc>
          <w:tcPr>
            <w:tcW w:type="dxa" w:w="1051"/>
          </w:tcPr>
          <w:p>
            <w:pPr>
              <w:pStyle w:val="null3"/>
              <w:jc w:val="left"/>
            </w:pPr>
            <w:r>
              <w:rPr/>
              <w:t>13</w:t>
            </w:r>
          </w:p>
        </w:tc>
        <w:tc>
          <w:tcPr>
            <w:tcW w:type="dxa" w:w="2252"/>
          </w:tcPr>
          <w:p>
            <w:pPr>
              <w:pStyle w:val="null3"/>
              <w:jc w:val="left"/>
            </w:pPr>
            <w:r>
              <w:rPr/>
              <w:t>实质性要求</w:t>
            </w:r>
          </w:p>
        </w:tc>
        <w:tc>
          <w:tcPr>
            <w:tcW w:type="dxa" w:w="5004"/>
          </w:tcPr>
          <w:p>
            <w:pPr>
              <w:pStyle w:val="null3"/>
              <w:jc w:val="left"/>
            </w:pPr>
            <w:r>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t>14</w:t>
            </w:r>
          </w:p>
        </w:tc>
        <w:tc>
          <w:tcPr>
            <w:tcW w:type="dxa" w:w="2252"/>
          </w:tcPr>
          <w:p>
            <w:pPr>
              <w:pStyle w:val="null3"/>
              <w:jc w:val="left"/>
            </w:pPr>
            <w:r>
              <w:rPr/>
              <w:t>其他说明</w:t>
            </w:r>
          </w:p>
        </w:tc>
        <w:tc>
          <w:tcPr>
            <w:tcW w:type="dxa" w:w="5004"/>
          </w:tcPr>
          <w:p>
            <w:pPr>
              <w:pStyle w:val="null3"/>
              <w:jc w:val="left"/>
            </w:pPr>
            <w:r>
              <w:rPr/>
              <w:t>本询价通知书所称的“以上”、“以下”、“内”、“以内”、“不少于”包括本数；所称的“不足”、“低于”、“超过”不包括本数。</w:t>
            </w:r>
          </w:p>
        </w:tc>
      </w:tr>
    </w:tbl>
    <w:p>
      <w:pPr>
        <w:pStyle w:val="null3"/>
        <w:jc w:val="left"/>
        <w:outlineLvl w:val="2"/>
      </w:pPr>
      <w:r>
        <w:rPr>
          <w:b/>
          <w:sz w:val="28"/>
        </w:rPr>
        <w:t>2.2.总则</w:t>
      </w:r>
    </w:p>
    <w:p>
      <w:pPr>
        <w:pStyle w:val="null3"/>
        <w:jc w:val="left"/>
        <w:outlineLvl w:val="3"/>
      </w:pPr>
      <w:r>
        <w:rPr>
          <w:b/>
          <w:sz w:val="24"/>
        </w:rPr>
        <w:t>2.2.1.适用范围</w:t>
      </w:r>
    </w:p>
    <w:p>
      <w:pPr>
        <w:pStyle w:val="null3"/>
        <w:ind w:firstLine="480"/>
        <w:jc w:val="left"/>
      </w:pPr>
      <w:r>
        <w:rPr/>
        <w:t>一、本询价通知书仅适用于本次询价采购项目。</w:t>
      </w:r>
    </w:p>
    <w:p>
      <w:pPr>
        <w:pStyle w:val="null3"/>
        <w:ind w:firstLine="480"/>
        <w:jc w:val="left"/>
      </w:pPr>
      <w:r>
        <w:rPr/>
        <w:t xml:space="preserve">二、本询价通知书由 </w:t>
      </w:r>
      <w:r>
        <w:rPr/>
        <w:t>巴中市巴州区兴文镇中心小学校</w:t>
      </w:r>
      <w:r>
        <w:rPr/>
        <w:t xml:space="preserve"> 和 </w:t>
      </w:r>
      <w:r>
        <w:rPr/>
        <w:t>巴中市巴州区政府采购中心</w:t>
      </w:r>
      <w:r>
        <w:rPr/>
        <w:t xml:space="preserve"> 负责解释。</w:t>
      </w:r>
    </w:p>
    <w:p>
      <w:pPr>
        <w:pStyle w:val="null3"/>
        <w:jc w:val="left"/>
        <w:outlineLvl w:val="3"/>
      </w:pPr>
      <w:r>
        <w:rPr>
          <w:b/>
          <w:sz w:val="24"/>
        </w:rPr>
        <w:t>2.2.2.有关定义</w:t>
      </w:r>
    </w:p>
    <w:p>
      <w:pPr>
        <w:pStyle w:val="null3"/>
        <w:ind w:firstLine="480"/>
        <w:jc w:val="left"/>
      </w:pPr>
      <w:r>
        <w:rPr/>
        <w:t xml:space="preserve">一、 “采购人”是指依法进行政府采购的国家机关、事业单位、团体组织。本次询价采购项目的采购人是 </w:t>
      </w:r>
      <w:r>
        <w:rPr/>
        <w:t>巴中市巴州区兴文镇中心小学校</w:t>
      </w:r>
      <w:r>
        <w:rPr/>
        <w:t xml:space="preserve"> 。</w:t>
      </w:r>
    </w:p>
    <w:p>
      <w:pPr>
        <w:pStyle w:val="null3"/>
        <w:ind w:firstLine="480"/>
        <w:jc w:val="left"/>
      </w:pPr>
      <w:r>
        <w:rPr/>
        <w:t xml:space="preserve">二、“供应商”是指按照 </w:t>
      </w:r>
      <w:r>
        <w:rPr/>
        <w:t>采购公告</w:t>
      </w:r>
      <w:r>
        <w:rPr/>
        <w:t xml:space="preserve"> 规定获取询价通知书，参加采购活动的法人、其他组织或者自然人。</w:t>
      </w:r>
    </w:p>
    <w:p>
      <w:pPr>
        <w:pStyle w:val="null3"/>
        <w:ind w:firstLine="480"/>
        <w:jc w:val="left"/>
      </w:pPr>
      <w:r>
        <w:rPr/>
        <w:t xml:space="preserve">三、 “代理机构”是指集中采购机构和从事采购代理业务的社会中介机构。本项目的代理机构是 </w:t>
      </w:r>
      <w:r>
        <w:rPr/>
        <w:t>巴中市巴州区政府采购中心</w:t>
      </w:r>
      <w:r>
        <w:rPr/>
        <w:t xml:space="preserve"> 。</w:t>
      </w:r>
    </w:p>
    <w:p>
      <w:pPr>
        <w:pStyle w:val="null3"/>
        <w:ind w:firstLine="480"/>
        <w:jc w:val="left"/>
      </w:pPr>
      <w:r>
        <w:rPr/>
        <w:t>四、“网上开启”是指代理机构通过交易系统在线组织响应文件解密，供应商通过交易系统在线解密响应文件等活动。</w:t>
      </w:r>
    </w:p>
    <w:p>
      <w:pPr>
        <w:pStyle w:val="null3"/>
        <w:ind w:firstLine="480"/>
        <w:jc w:val="left"/>
      </w:pPr>
      <w:r>
        <w:rPr/>
        <w:t>五、“电子评审”是指询价小组开展资格审查、符合性审查、一次性报价、推荐成交候选供应商、出具询价报告等活动。</w:t>
      </w:r>
    </w:p>
    <w:p>
      <w:pPr>
        <w:pStyle w:val="null3"/>
        <w:jc w:val="left"/>
        <w:outlineLvl w:val="2"/>
      </w:pPr>
      <w:r>
        <w:rPr>
          <w:b/>
          <w:sz w:val="28"/>
        </w:rPr>
        <w:t>2.3.询价通知书</w:t>
      </w:r>
    </w:p>
    <w:p>
      <w:pPr>
        <w:pStyle w:val="null3"/>
        <w:jc w:val="left"/>
        <w:outlineLvl w:val="3"/>
      </w:pPr>
      <w:r>
        <w:rPr>
          <w:b/>
          <w:sz w:val="24"/>
        </w:rPr>
        <w:t>2.3.1.询价通知书的构成</w:t>
      </w:r>
    </w:p>
    <w:p>
      <w:pPr>
        <w:pStyle w:val="null3"/>
        <w:ind w:firstLine="480"/>
        <w:jc w:val="left"/>
      </w:pPr>
      <w:r>
        <w:rPr/>
        <w:t>询价通知书由采购人、代理机构编制，是项目采购活动开展的基本依据，主要包括以下内容：</w:t>
      </w:r>
    </w:p>
    <w:p>
      <w:pPr>
        <w:pStyle w:val="null3"/>
        <w:ind w:firstLine="480"/>
        <w:jc w:val="left"/>
      </w:pPr>
      <w:r>
        <w:rPr/>
        <w:t>一、询价邀请；</w:t>
      </w:r>
    </w:p>
    <w:p>
      <w:pPr>
        <w:pStyle w:val="null3"/>
        <w:ind w:firstLine="480"/>
        <w:jc w:val="left"/>
      </w:pPr>
      <w:r>
        <w:rPr/>
        <w:t>二、供应商须知；</w:t>
      </w:r>
    </w:p>
    <w:p>
      <w:pPr>
        <w:pStyle w:val="null3"/>
        <w:ind w:firstLine="480"/>
        <w:jc w:val="left"/>
      </w:pPr>
      <w:r>
        <w:rPr/>
        <w:t>三、技术、服务及其他要求；</w:t>
      </w:r>
    </w:p>
    <w:p>
      <w:pPr>
        <w:pStyle w:val="null3"/>
        <w:ind w:firstLine="480"/>
        <w:jc w:val="left"/>
      </w:pPr>
      <w:r>
        <w:rPr/>
        <w:t>四、评审办法；</w:t>
      </w:r>
    </w:p>
    <w:p>
      <w:pPr>
        <w:pStyle w:val="null3"/>
        <w:ind w:firstLine="480"/>
        <w:jc w:val="left"/>
      </w:pPr>
      <w:r>
        <w:rPr/>
        <w:t>五、响应文件格式；</w:t>
      </w:r>
    </w:p>
    <w:p>
      <w:pPr>
        <w:pStyle w:val="null3"/>
        <w:ind w:firstLine="480"/>
        <w:jc w:val="left"/>
      </w:pPr>
      <w:r>
        <w:rPr/>
        <w:t>六、拟签订采购合同文本。</w:t>
      </w:r>
    </w:p>
    <w:p>
      <w:pPr>
        <w:pStyle w:val="null3"/>
        <w:jc w:val="left"/>
        <w:outlineLvl w:val="3"/>
      </w:pPr>
      <w:r>
        <w:rPr>
          <w:b/>
          <w:sz w:val="24"/>
        </w:rPr>
        <w:t>2.3.2.询价通知书的澄清和修改</w:t>
      </w:r>
    </w:p>
    <w:p>
      <w:pPr>
        <w:pStyle w:val="null3"/>
        <w:ind w:firstLine="480"/>
        <w:jc w:val="left"/>
      </w:pPr>
      <w:r>
        <w:rPr/>
        <w:t>一、提交响应文件截止之日前，采购人或者代理机构可以对已发出的询价通知书进行必要的澄清或者修改。</w:t>
      </w:r>
    </w:p>
    <w:p>
      <w:pPr>
        <w:pStyle w:val="null3"/>
        <w:ind w:firstLine="480"/>
        <w:jc w:val="left"/>
      </w:pPr>
      <w:r>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t>三、供应商根据更正公告、更正信息要求下载更正后的询价文件通知书，进行响应文件编制。</w:t>
      </w:r>
    </w:p>
    <w:p>
      <w:pPr>
        <w:pStyle w:val="null3"/>
        <w:jc w:val="left"/>
        <w:outlineLvl w:val="2"/>
      </w:pPr>
      <w:r>
        <w:rPr>
          <w:b/>
          <w:sz w:val="28"/>
        </w:rPr>
        <w:t>2.4.响应文件</w:t>
      </w:r>
    </w:p>
    <w:p>
      <w:pPr>
        <w:pStyle w:val="null3"/>
        <w:jc w:val="left"/>
        <w:outlineLvl w:val="3"/>
      </w:pPr>
      <w:r>
        <w:rPr>
          <w:b/>
          <w:sz w:val="24"/>
        </w:rPr>
        <w:t>2.4.1.响应文件的语言</w:t>
      </w:r>
    </w:p>
    <w:p>
      <w:pPr>
        <w:pStyle w:val="null3"/>
        <w:ind w:firstLine="480"/>
        <w:jc w:val="left"/>
      </w:pPr>
      <w:r>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t>（一）供应商的法定代表人为外籍人士的，法定代表人的签字和护照；</w:t>
      </w:r>
    </w:p>
    <w:p>
      <w:pPr>
        <w:pStyle w:val="null3"/>
        <w:ind w:firstLine="480"/>
        <w:jc w:val="left"/>
      </w:pPr>
      <w:r>
        <w:rPr/>
        <w:t>（二）对于如生产厂家授权书、原厂技术证明资料及一些行业标准、国家标准、国际标准或者行业认证等需要以非中文表述且不宜翻译为中文的。</w:t>
      </w:r>
    </w:p>
    <w:p>
      <w:pPr>
        <w:pStyle w:val="null3"/>
        <w:ind w:firstLine="480"/>
        <w:jc w:val="left"/>
      </w:pPr>
      <w:r>
        <w:rPr/>
        <w:t>二、翻译的中文资料与外文资料如果出现差异和矛盾，以中文为准。涉嫌提供虚假材料的按照相关法律法规处理。</w:t>
      </w:r>
    </w:p>
    <w:p>
      <w:pPr>
        <w:pStyle w:val="null3"/>
        <w:ind w:firstLine="480"/>
        <w:jc w:val="left"/>
      </w:pPr>
      <w:r>
        <w:rPr/>
        <w:t>三、如因未翻译而造成对供应商的不利后果，由供应商承担。</w:t>
      </w:r>
    </w:p>
    <w:p>
      <w:pPr>
        <w:pStyle w:val="null3"/>
        <w:jc w:val="left"/>
        <w:outlineLvl w:val="3"/>
      </w:pPr>
      <w:r>
        <w:rPr>
          <w:b/>
          <w:sz w:val="24"/>
        </w:rPr>
        <w:t>2.4.2.计量单位★</w:t>
      </w:r>
    </w:p>
    <w:p>
      <w:pPr>
        <w:pStyle w:val="null3"/>
        <w:ind w:firstLine="480"/>
        <w:jc w:val="left"/>
      </w:pPr>
      <w:r>
        <w:rPr/>
        <w:t>除询价通知书中另有规定外，本项目均采用国家法定的计量单位。</w:t>
      </w:r>
    </w:p>
    <w:p>
      <w:pPr>
        <w:pStyle w:val="null3"/>
        <w:jc w:val="left"/>
        <w:outlineLvl w:val="3"/>
      </w:pPr>
      <w:r>
        <w:rPr>
          <w:b/>
          <w:sz w:val="24"/>
        </w:rPr>
        <w:t>2.4.3.响应货币★</w:t>
      </w:r>
    </w:p>
    <w:p>
      <w:pPr>
        <w:pStyle w:val="null3"/>
        <w:ind w:firstLine="480"/>
        <w:jc w:val="left"/>
      </w:pPr>
      <w:r>
        <w:rPr/>
        <w:t>本项目均以人民币报价。</w:t>
      </w:r>
    </w:p>
    <w:p>
      <w:pPr>
        <w:pStyle w:val="null3"/>
        <w:jc w:val="left"/>
        <w:outlineLvl w:val="3"/>
      </w:pPr>
      <w:r>
        <w:rPr>
          <w:b/>
          <w:sz w:val="24"/>
        </w:rPr>
        <w:t>2.4.4.知识产权★</w:t>
      </w:r>
    </w:p>
    <w:p>
      <w:pPr>
        <w:pStyle w:val="null3"/>
        <w:ind w:firstLine="480"/>
        <w:jc w:val="left"/>
      </w:pPr>
      <w:r>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t>三、如使用供应商所不拥有的知识产权，则在报价中必须包括合法使用该知识产权的相关费用。</w:t>
      </w:r>
    </w:p>
    <w:p>
      <w:pPr>
        <w:pStyle w:val="null3"/>
        <w:jc w:val="left"/>
        <w:outlineLvl w:val="3"/>
      </w:pPr>
      <w:r>
        <w:rPr>
          <w:b/>
          <w:sz w:val="24"/>
        </w:rPr>
        <w:t>2.4.5.响应报价★</w:t>
      </w:r>
    </w:p>
    <w:p>
      <w:pPr>
        <w:pStyle w:val="null3"/>
        <w:ind w:firstLine="480"/>
        <w:jc w:val="left"/>
      </w:pPr>
      <w:r>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b/>
          <w:sz w:val="24"/>
        </w:rPr>
        <w:t>2.4.6.响应文件的编制、签章和加密★</w:t>
      </w:r>
    </w:p>
    <w:p>
      <w:pPr>
        <w:pStyle w:val="null3"/>
        <w:ind w:firstLine="480"/>
        <w:jc w:val="left"/>
      </w:pPr>
      <w:r>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t>二、供应商通过四川政府采购网-下载专区下载投标（响应）客户端，使用投标（响应）客户端编制响应文件，完成响应文件编制、加盖电子印章和加密。</w:t>
      </w:r>
    </w:p>
    <w:p>
      <w:pPr>
        <w:pStyle w:val="null3"/>
        <w:jc w:val="left"/>
        <w:outlineLvl w:val="3"/>
      </w:pPr>
      <w:r>
        <w:rPr>
          <w:b/>
          <w:sz w:val="24"/>
        </w:rPr>
        <w:t>2.4.7.响应文件的提交★</w:t>
      </w:r>
    </w:p>
    <w:p>
      <w:pPr>
        <w:pStyle w:val="null3"/>
        <w:ind w:firstLine="480"/>
        <w:jc w:val="left"/>
      </w:pPr>
      <w:r>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t>未按询价通知书和采购平台操作规范编制、确认、加密、盖章和提交的响应文件，将被拒绝接收。</w:t>
      </w:r>
    </w:p>
    <w:p>
      <w:pPr>
        <w:pStyle w:val="null3"/>
        <w:ind w:firstLine="480"/>
        <w:jc w:val="left"/>
      </w:pPr>
      <w:r>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t>三、除提交响应文件的供应商外，其他任何单位和个人不得解密响应文件或者调整修改已提交响应文件的内容及提交状态。</w:t>
      </w:r>
    </w:p>
    <w:p>
      <w:pPr>
        <w:pStyle w:val="null3"/>
        <w:jc w:val="left"/>
        <w:outlineLvl w:val="3"/>
      </w:pPr>
      <w:r>
        <w:rPr>
          <w:b/>
          <w:sz w:val="24"/>
        </w:rPr>
        <w:t>2.4.8.响应文件的补充、修改、撤回★</w:t>
      </w:r>
    </w:p>
    <w:p>
      <w:pPr>
        <w:pStyle w:val="null3"/>
        <w:ind w:firstLine="480"/>
        <w:jc w:val="left"/>
      </w:pPr>
      <w:r>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t>供应商响应文件撤回后，视为未提交过响应文件。</w:t>
      </w:r>
    </w:p>
    <w:p>
      <w:pPr>
        <w:pStyle w:val="null3"/>
        <w:jc w:val="left"/>
        <w:outlineLvl w:val="2"/>
      </w:pPr>
      <w:r>
        <w:rPr>
          <w:b/>
          <w:sz w:val="28"/>
        </w:rPr>
        <w:t>2.5.开启、评审和确定成交供应商</w:t>
      </w:r>
    </w:p>
    <w:p>
      <w:pPr>
        <w:pStyle w:val="null3"/>
        <w:jc w:val="left"/>
        <w:outlineLvl w:val="3"/>
      </w:pPr>
      <w:r>
        <w:rPr>
          <w:b/>
          <w:sz w:val="24"/>
        </w:rPr>
        <w:t>2.5.1.开启</w:t>
      </w:r>
    </w:p>
    <w:p>
      <w:pPr>
        <w:pStyle w:val="null3"/>
        <w:jc w:val="left"/>
      </w:pPr>
      <w:r>
        <w:rPr>
          <w:b/>
        </w:rPr>
        <w:t>2.5.1.1开启程序</w:t>
      </w:r>
    </w:p>
    <w:p>
      <w:pPr>
        <w:pStyle w:val="null3"/>
        <w:ind w:firstLine="480"/>
        <w:jc w:val="left"/>
      </w:pPr>
      <w:r>
        <w:rPr/>
        <w:t>提交响应文件截止时间后，通过交易系统“开标/开启大厅”网上开启解密响应文件。</w:t>
      </w:r>
    </w:p>
    <w:p>
      <w:pPr>
        <w:pStyle w:val="null3"/>
        <w:jc w:val="left"/>
      </w:pPr>
      <w:r>
        <w:rPr>
          <w:b/>
        </w:rPr>
        <w:t>2.5.1.2.解密响应文件★</w:t>
      </w:r>
    </w:p>
    <w:p>
      <w:pPr>
        <w:pStyle w:val="null3"/>
        <w:ind w:firstLine="480"/>
        <w:jc w:val="left"/>
      </w:pPr>
      <w:r>
        <w:rPr/>
        <w:t>提交响应文件截止时间后，成功提交响应文件的供应商符合询价通知书规定数量的，代理机构将启动响应文件解密程序，解密时间为</w:t>
      </w:r>
      <w:r>
        <w:rPr/>
        <w:t>30</w:t>
      </w:r>
      <w:r>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b/>
        </w:rPr>
        <w:t>2.5.1.3.有关要求</w:t>
      </w:r>
    </w:p>
    <w:p>
      <w:pPr>
        <w:pStyle w:val="null3"/>
        <w:ind w:firstLine="480"/>
        <w:jc w:val="left"/>
      </w:pPr>
      <w:r>
        <w:rPr/>
        <w:t>成功提交或者成功解密响应文件的供应商不足3家的，采购人或者代理机构应当终止采购活动，发布项目终止公告并说明原因，重新开展采购活动。</w:t>
      </w:r>
    </w:p>
    <w:p>
      <w:pPr>
        <w:pStyle w:val="null3"/>
        <w:jc w:val="left"/>
        <w:outlineLvl w:val="3"/>
      </w:pPr>
      <w:r>
        <w:rPr>
          <w:b/>
          <w:sz w:val="24"/>
        </w:rPr>
        <w:t>2.5.2.查询及使用信用记录</w:t>
      </w:r>
    </w:p>
    <w:p>
      <w:pPr>
        <w:pStyle w:val="null3"/>
        <w:ind w:firstLine="480"/>
        <w:jc w:val="left"/>
      </w:pPr>
      <w:r>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t>组成联合体参加政府采购活动的，将对所有联合体成员进行信用记录查询，联合体成员存在不良信用记录的，视同联合体存在不良信用记录。</w:t>
      </w:r>
    </w:p>
    <w:p>
      <w:pPr>
        <w:pStyle w:val="null3"/>
        <w:jc w:val="left"/>
        <w:outlineLvl w:val="3"/>
      </w:pPr>
      <w:r>
        <w:rPr>
          <w:b/>
          <w:sz w:val="24"/>
        </w:rPr>
        <w:t>2.5.3.评审</w:t>
      </w:r>
    </w:p>
    <w:p>
      <w:pPr>
        <w:pStyle w:val="null3"/>
        <w:ind w:firstLine="480"/>
        <w:jc w:val="left"/>
      </w:pPr>
      <w:r>
        <w:rPr/>
        <w:t>详见询价通知书第四章。</w:t>
      </w:r>
    </w:p>
    <w:p>
      <w:pPr>
        <w:pStyle w:val="null3"/>
        <w:jc w:val="left"/>
        <w:outlineLvl w:val="3"/>
      </w:pPr>
      <w:r>
        <w:rPr>
          <w:b/>
          <w:sz w:val="24"/>
        </w:rPr>
        <w:t>2.5.4.成交通知书</w:t>
      </w:r>
    </w:p>
    <w:p>
      <w:pPr>
        <w:pStyle w:val="null3"/>
        <w:ind w:firstLine="480"/>
        <w:jc w:val="left"/>
      </w:pPr>
      <w:r>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b/>
          <w:sz w:val="28"/>
        </w:rPr>
        <w:t>2.6.合同签订、备案、履行及验收</w:t>
      </w:r>
    </w:p>
    <w:p>
      <w:pPr>
        <w:pStyle w:val="null3"/>
        <w:jc w:val="left"/>
        <w:outlineLvl w:val="3"/>
      </w:pPr>
      <w:r>
        <w:rPr>
          <w:b/>
          <w:sz w:val="24"/>
        </w:rPr>
        <w:t>2.6.1.签订合同</w:t>
      </w:r>
    </w:p>
    <w:p>
      <w:pPr>
        <w:pStyle w:val="null3"/>
        <w:ind w:firstLine="480"/>
        <w:jc w:val="left"/>
      </w:pPr>
      <w:r>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t>三、政府采购合同自采购人和成交供应商在书面合同上签章之日起生效。</w:t>
      </w:r>
    </w:p>
    <w:p>
      <w:pPr>
        <w:pStyle w:val="null3"/>
        <w:ind w:firstLine="480"/>
        <w:jc w:val="left"/>
      </w:pPr>
      <w:r>
        <w:rPr/>
        <w:t>四、成交供应商完全遵守《中华人民共和国劳动合同法》有关规定和《中华人民共和国妇女权益保障法》中关于“劳动和社会保障权益”的有关要求。</w:t>
      </w:r>
    </w:p>
    <w:p>
      <w:pPr>
        <w:pStyle w:val="null3"/>
        <w:jc w:val="left"/>
        <w:outlineLvl w:val="3"/>
      </w:pPr>
      <w:r>
        <w:rPr>
          <w:b/>
          <w:sz w:val="24"/>
        </w:rPr>
        <w:t>2.6.2.政府采购合同公告、备案</w:t>
      </w:r>
    </w:p>
    <w:p>
      <w:pPr>
        <w:pStyle w:val="null3"/>
        <w:ind w:firstLine="480"/>
        <w:jc w:val="left"/>
      </w:pPr>
      <w:r>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b/>
          <w:sz w:val="24"/>
        </w:rPr>
        <w:t>2.6.3.合同分包和转包★</w:t>
      </w:r>
    </w:p>
    <w:p>
      <w:pPr>
        <w:pStyle w:val="null3"/>
        <w:jc w:val="left"/>
        <w:outlineLvl w:val="4"/>
      </w:pPr>
      <w:r>
        <w:rPr>
          <w:b/>
          <w:sz w:val="20"/>
        </w:rPr>
        <w:t>2.6.3.1.合同分包</w:t>
      </w:r>
    </w:p>
    <w:p>
      <w:pPr>
        <w:pStyle w:val="null3"/>
        <w:jc w:val="left"/>
      </w:pPr>
      <w:r>
        <w:rPr/>
        <w:t>本项目不允许合同分包。</w:t>
      </w:r>
    </w:p>
    <w:p>
      <w:pPr>
        <w:pStyle w:val="null3"/>
        <w:jc w:val="left"/>
        <w:outlineLvl w:val="4"/>
      </w:pPr>
      <w:r>
        <w:rPr>
          <w:b/>
          <w:sz w:val="20"/>
        </w:rPr>
        <w:t>2.6.3.2.合同转包</w:t>
      </w:r>
    </w:p>
    <w:p>
      <w:pPr>
        <w:pStyle w:val="null3"/>
        <w:ind w:firstLine="480"/>
        <w:jc w:val="left"/>
      </w:pPr>
      <w:r>
        <w:rPr/>
        <w:t>一、严禁成交供应商将本项目合同转包。</w:t>
      </w:r>
    </w:p>
    <w:p>
      <w:pPr>
        <w:pStyle w:val="null3"/>
        <w:ind w:firstLine="480"/>
        <w:jc w:val="left"/>
      </w:pPr>
      <w:r>
        <w:rPr/>
        <w:t>二、成交供应商合同转包的，将依法追究法律责任。</w:t>
      </w:r>
    </w:p>
    <w:p>
      <w:pPr>
        <w:pStyle w:val="null3"/>
        <w:jc w:val="left"/>
        <w:outlineLvl w:val="3"/>
      </w:pPr>
      <w:r>
        <w:rPr>
          <w:b/>
          <w:sz w:val="24"/>
        </w:rPr>
        <w:t>2.6.4.采购人增加合同标的的权利</w:t>
      </w:r>
    </w:p>
    <w:p>
      <w:pPr>
        <w:pStyle w:val="null3"/>
        <w:ind w:firstLine="480"/>
        <w:jc w:val="left"/>
      </w:pPr>
      <w:r>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b/>
          <w:sz w:val="24"/>
        </w:rPr>
        <w:t>2.6.5.履行合同</w:t>
      </w:r>
    </w:p>
    <w:p>
      <w:pPr>
        <w:pStyle w:val="null3"/>
        <w:ind w:firstLine="480"/>
        <w:jc w:val="left"/>
      </w:pPr>
      <w:r>
        <w:rPr/>
        <w:t>一、采购人与成交供应商应当根据合同的约定依法履行合同义务。</w:t>
      </w:r>
    </w:p>
    <w:p>
      <w:pPr>
        <w:pStyle w:val="null3"/>
        <w:ind w:firstLine="480"/>
        <w:jc w:val="left"/>
      </w:pPr>
      <w:r>
        <w:rPr/>
        <w:t>二、政府采购合同的履行、违约责任和解决争议的方法等适用《中华人民共和国民法典》。</w:t>
      </w:r>
    </w:p>
    <w:p>
      <w:pPr>
        <w:pStyle w:val="null3"/>
        <w:jc w:val="left"/>
        <w:outlineLvl w:val="3"/>
      </w:pPr>
      <w:r>
        <w:rPr>
          <w:b/>
          <w:sz w:val="24"/>
        </w:rPr>
        <w:t>2.6.6.履约验收方案</w:t>
      </w:r>
    </w:p>
    <w:p>
      <w:pPr>
        <w:pStyle w:val="null3"/>
        <w:ind w:firstLine="480"/>
        <w:jc w:val="left"/>
      </w:pPr>
      <w:r>
        <w:rPr/>
        <w:t>一、验收组织方式：</w:t>
      </w:r>
    </w:p>
    <w:p>
      <w:pPr>
        <w:pStyle w:val="null3"/>
        <w:ind w:firstLine="480"/>
        <w:jc w:val="left"/>
      </w:pPr>
      <w:r>
        <w:rPr/>
        <w:t>采购包1：</w:t>
      </w:r>
      <w:r>
        <w:rPr/>
        <w:t>自行验收</w:t>
      </w:r>
    </w:p>
    <w:p>
      <w:pPr>
        <w:pStyle w:val="null3"/>
        <w:ind w:firstLine="480"/>
        <w:jc w:val="left"/>
      </w:pPr>
      <w:r>
        <w:rPr/>
        <w:t>二、是否邀请本项目的其他供应商：</w:t>
      </w:r>
    </w:p>
    <w:p>
      <w:pPr>
        <w:pStyle w:val="null3"/>
        <w:ind w:firstLine="480"/>
        <w:jc w:val="left"/>
      </w:pPr>
      <w:r>
        <w:rPr/>
        <w:t>采购包1：</w:t>
      </w:r>
      <w:r>
        <w:rPr/>
        <w:t>否</w:t>
      </w:r>
    </w:p>
    <w:p>
      <w:pPr>
        <w:pStyle w:val="null3"/>
        <w:ind w:firstLine="480"/>
        <w:jc w:val="left"/>
      </w:pPr>
      <w:r>
        <w:rPr/>
        <w:t>三、是否邀请专家：</w:t>
      </w:r>
    </w:p>
    <w:p>
      <w:pPr>
        <w:pStyle w:val="null3"/>
        <w:ind w:firstLine="480"/>
        <w:jc w:val="left"/>
      </w:pPr>
      <w:r>
        <w:rPr/>
        <w:t>采购包1：</w:t>
      </w:r>
      <w:r>
        <w:rPr/>
        <w:t>否</w:t>
      </w:r>
    </w:p>
    <w:p>
      <w:pPr>
        <w:pStyle w:val="null3"/>
        <w:ind w:firstLine="480"/>
        <w:jc w:val="left"/>
      </w:pPr>
      <w:r>
        <w:rPr/>
        <w:t>四、是否邀请服务对象：</w:t>
      </w:r>
    </w:p>
    <w:p>
      <w:pPr>
        <w:pStyle w:val="null3"/>
        <w:ind w:firstLine="480"/>
        <w:jc w:val="left"/>
      </w:pPr>
      <w:r>
        <w:rPr/>
        <w:t>采购包1：</w:t>
      </w:r>
      <w:r>
        <w:rPr/>
        <w:t>否</w:t>
      </w:r>
    </w:p>
    <w:p>
      <w:pPr>
        <w:pStyle w:val="null3"/>
        <w:ind w:firstLine="480"/>
        <w:jc w:val="left"/>
      </w:pPr>
      <w:r>
        <w:rPr/>
        <w:t>五、是否邀请第三方检测机构：</w:t>
      </w:r>
    </w:p>
    <w:p>
      <w:pPr>
        <w:pStyle w:val="null3"/>
        <w:ind w:firstLine="480"/>
        <w:jc w:val="left"/>
      </w:pPr>
      <w:r>
        <w:rPr/>
        <w:t>采购包1：</w:t>
      </w:r>
      <w:r>
        <w:rPr/>
        <w:t>否</w:t>
      </w:r>
    </w:p>
    <w:p>
      <w:pPr>
        <w:pStyle w:val="null3"/>
        <w:ind w:firstLine="480"/>
        <w:jc w:val="left"/>
      </w:pPr>
      <w:r>
        <w:rPr/>
        <w:t>六、履约验收程序：</w:t>
      </w:r>
    </w:p>
    <w:p>
      <w:pPr>
        <w:pStyle w:val="null3"/>
        <w:ind w:firstLine="480"/>
        <w:jc w:val="left"/>
      </w:pPr>
      <w:r>
        <w:rPr/>
        <w:t>采购包1：</w:t>
      </w:r>
      <w:r>
        <w:rPr/>
        <w:t>一次性验收</w:t>
      </w:r>
    </w:p>
    <w:p>
      <w:pPr>
        <w:pStyle w:val="null3"/>
        <w:ind w:firstLine="480"/>
        <w:jc w:val="left"/>
      </w:pPr>
      <w:r>
        <w:rPr/>
        <w:t>七、履约验收时间：</w:t>
      </w:r>
    </w:p>
    <w:p>
      <w:pPr>
        <w:pStyle w:val="null3"/>
        <w:ind w:firstLine="480"/>
        <w:jc w:val="left"/>
      </w:pPr>
      <w:r>
        <w:rPr/>
        <w:t>采购包1：</w:t>
      </w:r>
    </w:p>
    <w:p>
      <w:pPr>
        <w:pStyle w:val="null3"/>
        <w:ind w:firstLine="1200"/>
        <w:jc w:val="left"/>
      </w:pPr>
      <w:r>
        <w:rPr/>
        <w:t>1、</w:t>
      </w:r>
      <w:r>
        <w:rPr/>
        <w:t xml:space="preserve"> 验收条件说明： </w:t>
      </w:r>
      <w:r>
        <w:rPr/>
        <w:t>安装完毕，并正常使用</w:t>
      </w:r>
      <w:r>
        <w:rPr/>
        <w:t xml:space="preserve"> ，达到验收条件起 </w:t>
      </w:r>
      <w:r>
        <w:rPr/>
        <w:t>10</w:t>
      </w:r>
      <w:r>
        <w:rPr/>
        <w:t xml:space="preserve"> 日内，验收合同总金额的 </w:t>
      </w:r>
      <w:r>
        <w:rPr/>
        <w:t>100.00</w:t>
      </w:r>
      <w:r>
        <w:rPr/>
        <w:t>%；</w:t>
      </w:r>
    </w:p>
    <w:p>
      <w:pPr>
        <w:pStyle w:val="null3"/>
        <w:ind w:firstLine="480"/>
        <w:jc w:val="left"/>
      </w:pPr>
      <w:r>
        <w:rPr/>
        <w:t>八、验收组织的其他事项：</w:t>
      </w:r>
    </w:p>
    <w:p>
      <w:pPr>
        <w:pStyle w:val="null3"/>
        <w:ind w:firstLine="480"/>
        <w:jc w:val="left"/>
      </w:pPr>
      <w:r>
        <w:rPr/>
        <w:t>采购包1：</w:t>
      </w:r>
      <w:r>
        <w:rPr/>
        <w:t>货物在供应商通知安装调试完毕后5日内初步验收。初步验收合格后,进入10天试用期,试用期间发生一般性质量问题，修复后试用期相应顺延；试用期结束后5日内完成最终验收,如质量验收合格,双方签署《质量验收合格报告)。</w:t>
      </w:r>
    </w:p>
    <w:p>
      <w:pPr>
        <w:pStyle w:val="null3"/>
        <w:ind w:firstLine="480"/>
        <w:jc w:val="left"/>
      </w:pPr>
      <w:r>
        <w:rPr/>
        <w:t>九、技术履约验收内容：</w:t>
      </w:r>
    </w:p>
    <w:p>
      <w:pPr>
        <w:pStyle w:val="null3"/>
        <w:ind w:firstLine="480"/>
        <w:jc w:val="left"/>
      </w:pPr>
      <w:r>
        <w:rPr/>
        <w:t>采购包1：</w:t>
      </w:r>
      <w:r>
        <w:rPr/>
        <w:t>响应文件及合同规定的技术服务全部内容。</w:t>
      </w:r>
    </w:p>
    <w:p>
      <w:pPr>
        <w:pStyle w:val="null3"/>
        <w:ind w:firstLine="480"/>
        <w:jc w:val="left"/>
      </w:pPr>
      <w:r>
        <w:rPr/>
        <w:t>十、商务履约验收内容：</w:t>
      </w:r>
    </w:p>
    <w:p>
      <w:pPr>
        <w:pStyle w:val="null3"/>
        <w:ind w:firstLine="480"/>
        <w:jc w:val="left"/>
      </w:pPr>
      <w:r>
        <w:rPr/>
        <w:t>采购包1：</w:t>
      </w:r>
      <w:r>
        <w:rPr/>
        <w:t>响应文件及合同规定的商务服务全部内容。</w:t>
      </w:r>
    </w:p>
    <w:p>
      <w:pPr>
        <w:pStyle w:val="null3"/>
        <w:ind w:firstLine="480"/>
        <w:jc w:val="left"/>
      </w:pPr>
      <w:r>
        <w:rPr/>
        <w:t>十一、履约验收标准：</w:t>
      </w:r>
    </w:p>
    <w:p>
      <w:pPr>
        <w:pStyle w:val="null3"/>
        <w:ind w:firstLine="480"/>
        <w:jc w:val="left"/>
      </w:pPr>
      <w:r>
        <w:rPr/>
        <w:t>采购包1：</w:t>
      </w:r>
      <w:r>
        <w:rPr/>
        <w:t>严格按照《财政部关于进一步加强政府采购需求和履约验收管理的指导意见》(财库〔2016〕 205 号)、财政部《政府采购需求管理办法》（财库〔2021〕22号）的要求进行验收。</w:t>
      </w:r>
    </w:p>
    <w:p>
      <w:pPr>
        <w:pStyle w:val="null3"/>
        <w:ind w:firstLine="480"/>
        <w:jc w:val="left"/>
      </w:pPr>
      <w:r>
        <w:rPr/>
        <w:t>十二、履约验收其他事项：</w:t>
      </w:r>
    </w:p>
    <w:p>
      <w:pPr>
        <w:pStyle w:val="null3"/>
        <w:ind w:firstLine="480"/>
        <w:jc w:val="left"/>
      </w:pPr>
      <w:r>
        <w:rPr/>
        <w:t>采购包1：</w:t>
      </w:r>
      <w:r>
        <w:rPr/>
        <w:t>①如货物经供应商3次维修仍不能达到合同约定的质量标准,采购人有权退货,并视作供应商不能交付货物且须支付违约赔偿金给采购人,采购人还可依法追究供应商的违约责任。 ②其他未尽事宜应严格按照《财政部关于进一步加强政府采购需求和履约验收管理的指导意见》（财库 (2016)205号)及《政府采购需求管理办法》（财库〔2021〕22号），采购文件规定的要求和响应文件及合同承诺的内容进行验收。</w:t>
      </w:r>
    </w:p>
    <w:p>
      <w:pPr>
        <w:pStyle w:val="null3"/>
        <w:jc w:val="left"/>
        <w:outlineLvl w:val="3"/>
      </w:pPr>
      <w:r>
        <w:rPr>
          <w:b/>
          <w:sz w:val="24"/>
        </w:rPr>
        <w:t>2.6.7.资金支付</w:t>
      </w:r>
    </w:p>
    <w:p>
      <w:pPr>
        <w:pStyle w:val="null3"/>
        <w:ind w:firstLine="480"/>
        <w:jc w:val="left"/>
      </w:pPr>
      <w:r>
        <w:rPr/>
        <w:t>采购人将按照政府采购合同规定，及时向成交供应商支付采购资金。具体支付约定详见第三章。</w:t>
      </w:r>
    </w:p>
    <w:p>
      <w:pPr>
        <w:pStyle w:val="null3"/>
        <w:jc w:val="left"/>
        <w:outlineLvl w:val="2"/>
      </w:pPr>
      <w:r>
        <w:rPr>
          <w:b/>
          <w:sz w:val="28"/>
        </w:rPr>
        <w:t>2.7.纪律要求</w:t>
      </w:r>
    </w:p>
    <w:p>
      <w:pPr>
        <w:pStyle w:val="null3"/>
        <w:jc w:val="left"/>
        <w:outlineLvl w:val="3"/>
      </w:pPr>
      <w:r>
        <w:rPr>
          <w:b/>
          <w:sz w:val="24"/>
        </w:rPr>
        <w:t>2.7.1.保密要求</w:t>
      </w:r>
    </w:p>
    <w:p>
      <w:pPr>
        <w:pStyle w:val="null3"/>
        <w:ind w:firstLine="480"/>
        <w:jc w:val="left"/>
      </w:pPr>
      <w:r>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t>有关人员对评审情况以及在评审过程中获悉的国家秘密、商业秘密负有保密责任。</w:t>
      </w:r>
    </w:p>
    <w:p>
      <w:pPr>
        <w:pStyle w:val="null3"/>
        <w:jc w:val="left"/>
        <w:outlineLvl w:val="3"/>
      </w:pPr>
      <w:r>
        <w:rPr>
          <w:b/>
          <w:sz w:val="24"/>
        </w:rPr>
        <w:t>2.7.2.供应商不得具有的情形</w:t>
      </w:r>
    </w:p>
    <w:p>
      <w:pPr>
        <w:pStyle w:val="null3"/>
        <w:ind w:firstLine="480"/>
        <w:jc w:val="left"/>
      </w:pPr>
      <w:r>
        <w:rPr/>
        <w:t>供应商参加询价不得有下列情形：</w:t>
      </w:r>
    </w:p>
    <w:p>
      <w:pPr>
        <w:pStyle w:val="null3"/>
        <w:ind w:firstLine="480"/>
        <w:jc w:val="left"/>
      </w:pPr>
      <w:r>
        <w:rPr/>
        <w:t>一、有下列情形之一的，视为供应商串通响应：</w:t>
      </w:r>
    </w:p>
    <w:p>
      <w:pPr>
        <w:pStyle w:val="null3"/>
        <w:ind w:firstLine="480"/>
        <w:jc w:val="left"/>
      </w:pPr>
      <w:r>
        <w:rPr/>
        <w:t>（一）不同供应商的响应文件由同一单位或者个人编制；</w:t>
      </w:r>
    </w:p>
    <w:p>
      <w:pPr>
        <w:pStyle w:val="null3"/>
        <w:ind w:firstLine="480"/>
        <w:jc w:val="left"/>
      </w:pPr>
      <w:r>
        <w:rPr/>
        <w:t>（二）不同供应商委托同一单位或者个人办理投标事宜；</w:t>
      </w:r>
    </w:p>
    <w:p>
      <w:pPr>
        <w:pStyle w:val="null3"/>
        <w:ind w:firstLine="480"/>
        <w:jc w:val="left"/>
      </w:pPr>
      <w:r>
        <w:rPr/>
        <w:t>（三）不同供应商的响应文件载明的项目管理成员或者联系人员为同一人；</w:t>
      </w:r>
    </w:p>
    <w:p>
      <w:pPr>
        <w:pStyle w:val="null3"/>
        <w:ind w:firstLine="480"/>
        <w:jc w:val="left"/>
      </w:pPr>
      <w:r>
        <w:rPr/>
        <w:t>（四）不同供应商的响应文件异常一致或者响应报价呈规律性差异；</w:t>
      </w:r>
    </w:p>
    <w:p>
      <w:pPr>
        <w:pStyle w:val="null3"/>
        <w:ind w:firstLine="480"/>
        <w:jc w:val="left"/>
      </w:pPr>
      <w:r>
        <w:rPr/>
        <w:t>（五）不同供应商的响应文件相互混装；</w:t>
      </w:r>
    </w:p>
    <w:p>
      <w:pPr>
        <w:pStyle w:val="null3"/>
        <w:ind w:firstLine="480"/>
        <w:jc w:val="left"/>
      </w:pPr>
      <w:r>
        <w:rPr/>
        <w:t>（六）不同供应商的响应保证金从同一单位或者个人的账户转出。</w:t>
      </w:r>
    </w:p>
    <w:p>
      <w:pPr>
        <w:pStyle w:val="null3"/>
        <w:ind w:firstLine="480"/>
        <w:jc w:val="left"/>
      </w:pPr>
      <w:r>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t>（一）供应商直接或者间接从采购人或者代理机构处获得其他供应商的相关情况并修改其响应文件；</w:t>
      </w:r>
    </w:p>
    <w:p>
      <w:pPr>
        <w:pStyle w:val="null3"/>
        <w:ind w:firstLine="480"/>
        <w:jc w:val="left"/>
      </w:pPr>
      <w:r>
        <w:rPr/>
        <w:t>（二）供应商按照采购人或者代理机构的授意撤换、修改响应文件；</w:t>
      </w:r>
    </w:p>
    <w:p>
      <w:pPr>
        <w:pStyle w:val="null3"/>
        <w:ind w:firstLine="480"/>
        <w:jc w:val="left"/>
      </w:pPr>
      <w:r>
        <w:rPr/>
        <w:t>（三）供应商之间协商报价、技术方案等响应文件的实质性内容；</w:t>
      </w:r>
    </w:p>
    <w:p>
      <w:pPr>
        <w:pStyle w:val="null3"/>
        <w:ind w:firstLine="480"/>
        <w:jc w:val="left"/>
      </w:pPr>
      <w:r>
        <w:rPr/>
        <w:t>（四）属于同一集团、协会、商会等组织成员的供应商按照该组织要求协同参加政府采购活动；</w:t>
      </w:r>
    </w:p>
    <w:p>
      <w:pPr>
        <w:pStyle w:val="null3"/>
        <w:ind w:firstLine="480"/>
        <w:jc w:val="left"/>
      </w:pPr>
      <w:r>
        <w:rPr/>
        <w:t>（五）供应商之间事先约定由某一特定供应商成交；</w:t>
      </w:r>
    </w:p>
    <w:p>
      <w:pPr>
        <w:pStyle w:val="null3"/>
        <w:ind w:firstLine="480"/>
        <w:jc w:val="left"/>
      </w:pPr>
      <w:r>
        <w:rPr/>
        <w:t>（六）供应商之间商定部分供应商放弃参加政府采购活动或者放弃成交；</w:t>
      </w:r>
    </w:p>
    <w:p>
      <w:pPr>
        <w:pStyle w:val="null3"/>
        <w:ind w:firstLine="480"/>
        <w:jc w:val="left"/>
      </w:pPr>
      <w:r>
        <w:rPr/>
        <w:t>（七）供应商与采购人或者代理机构之间、供应商相互之间，为谋求特定供应商成交或者排斥其他供应商的其他串通行为。</w:t>
      </w:r>
    </w:p>
    <w:p>
      <w:pPr>
        <w:pStyle w:val="null3"/>
        <w:ind w:firstLine="480"/>
        <w:jc w:val="left"/>
      </w:pPr>
      <w:r>
        <w:rPr/>
        <w:t>三、提供虚假材料谋取成交；</w:t>
      </w:r>
    </w:p>
    <w:p>
      <w:pPr>
        <w:pStyle w:val="null3"/>
        <w:ind w:firstLine="480"/>
        <w:jc w:val="left"/>
      </w:pPr>
      <w:r>
        <w:rPr/>
        <w:t>四、采取不正当手段诋毁、排挤其他供应商；</w:t>
      </w:r>
    </w:p>
    <w:p>
      <w:pPr>
        <w:pStyle w:val="null3"/>
        <w:ind w:firstLine="480"/>
        <w:jc w:val="left"/>
      </w:pPr>
      <w:r>
        <w:rPr/>
        <w:t>五、与采购人或者代理机构、其他供应商恶意串通；</w:t>
      </w:r>
    </w:p>
    <w:p>
      <w:pPr>
        <w:pStyle w:val="null3"/>
        <w:ind w:firstLine="480"/>
        <w:jc w:val="left"/>
      </w:pPr>
      <w:r>
        <w:rPr/>
        <w:t>六、向采购人或者代理机构、询价小组成员行贿或者提供其他不正当利益；</w:t>
      </w:r>
    </w:p>
    <w:p>
      <w:pPr>
        <w:pStyle w:val="null3"/>
        <w:ind w:firstLine="480"/>
        <w:jc w:val="left"/>
      </w:pPr>
      <w:r>
        <w:rPr/>
        <w:t>七、在询价过程中与采购人或者代理机构进行协商谈判；</w:t>
      </w:r>
    </w:p>
    <w:p>
      <w:pPr>
        <w:pStyle w:val="null3"/>
        <w:ind w:firstLine="480"/>
        <w:jc w:val="left"/>
      </w:pPr>
      <w:r>
        <w:rPr/>
        <w:t>八、成交后无正当理由拒不与采购人签订政府采购合同；</w:t>
      </w:r>
    </w:p>
    <w:p>
      <w:pPr>
        <w:pStyle w:val="null3"/>
        <w:ind w:firstLine="480"/>
        <w:jc w:val="left"/>
      </w:pPr>
      <w:r>
        <w:rPr/>
        <w:t>九、未按照询价通知书确定的事项签订政府采购合同；</w:t>
      </w:r>
    </w:p>
    <w:p>
      <w:pPr>
        <w:pStyle w:val="null3"/>
        <w:ind w:firstLine="480"/>
        <w:jc w:val="left"/>
      </w:pPr>
      <w:r>
        <w:rPr/>
        <w:t>十、将政府采购合同转包或者违规分包；</w:t>
      </w:r>
    </w:p>
    <w:p>
      <w:pPr>
        <w:pStyle w:val="null3"/>
        <w:ind w:firstLine="480"/>
        <w:jc w:val="left"/>
      </w:pPr>
      <w:r>
        <w:rPr/>
        <w:t>十一、提供假冒伪劣产品；</w:t>
      </w:r>
    </w:p>
    <w:p>
      <w:pPr>
        <w:pStyle w:val="null3"/>
        <w:ind w:firstLine="480"/>
        <w:jc w:val="left"/>
      </w:pPr>
      <w:r>
        <w:rPr/>
        <w:t>十二、擅自变更、中止或者终止政府采购合同；</w:t>
      </w:r>
    </w:p>
    <w:p>
      <w:pPr>
        <w:pStyle w:val="null3"/>
        <w:ind w:firstLine="480"/>
        <w:jc w:val="left"/>
      </w:pPr>
      <w:r>
        <w:rPr/>
        <w:t>十三、拒绝有关部门的监督检查或者向监督检查部门提供虚假情况；</w:t>
      </w:r>
    </w:p>
    <w:p>
      <w:pPr>
        <w:pStyle w:val="null3"/>
        <w:ind w:firstLine="480"/>
        <w:jc w:val="left"/>
      </w:pPr>
      <w:r>
        <w:rPr/>
        <w:t>十四、法律法规规定的其他禁止情形。</w:t>
      </w:r>
    </w:p>
    <w:p>
      <w:pPr>
        <w:pStyle w:val="null3"/>
        <w:ind w:firstLine="480"/>
        <w:jc w:val="left"/>
      </w:pPr>
      <w:r>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b/>
          <w:sz w:val="24"/>
        </w:rPr>
        <w:t>2.7.3.采购人员及相关人员回避要求</w:t>
      </w:r>
    </w:p>
    <w:p>
      <w:pPr>
        <w:pStyle w:val="null3"/>
        <w:ind w:firstLine="480"/>
        <w:jc w:val="left"/>
      </w:pPr>
      <w:r>
        <w:rPr/>
        <w:t>政府采购活动中，采购人员及相关人员与供应商有下列利害关系之一的，应当回避：</w:t>
      </w:r>
    </w:p>
    <w:p>
      <w:pPr>
        <w:pStyle w:val="null3"/>
        <w:ind w:firstLine="480"/>
        <w:jc w:val="left"/>
      </w:pPr>
      <w:r>
        <w:rPr/>
        <w:t>一、参加采购活动前3年内与供应商存在劳动关系；</w:t>
      </w:r>
    </w:p>
    <w:p>
      <w:pPr>
        <w:pStyle w:val="null3"/>
        <w:ind w:firstLine="480"/>
        <w:jc w:val="left"/>
      </w:pPr>
      <w:r>
        <w:rPr/>
        <w:t>二、参加采购活动前3年内担任供应商的董事、监事；</w:t>
      </w:r>
    </w:p>
    <w:p>
      <w:pPr>
        <w:pStyle w:val="null3"/>
        <w:ind w:firstLine="480"/>
        <w:jc w:val="left"/>
      </w:pPr>
      <w:r>
        <w:rPr/>
        <w:t>三、参加采购活动前3年内是供应商的控股股东或者实际控制人；</w:t>
      </w:r>
    </w:p>
    <w:p>
      <w:pPr>
        <w:pStyle w:val="null3"/>
        <w:ind w:firstLine="480"/>
        <w:jc w:val="left"/>
      </w:pPr>
      <w:r>
        <w:rPr/>
        <w:t>四、与供应商的法定代表人或者负责人有夫妻、直系血亲、三代以内旁系血亲或者近姻亲关系；</w:t>
      </w:r>
    </w:p>
    <w:p>
      <w:pPr>
        <w:pStyle w:val="null3"/>
        <w:ind w:firstLine="480"/>
        <w:jc w:val="left"/>
      </w:pPr>
      <w:r>
        <w:rPr/>
        <w:t>五、与供应商有其他可能影响政府采购活动公平、公正进行的关系。</w:t>
      </w:r>
    </w:p>
    <w:p>
      <w:pPr>
        <w:pStyle w:val="null3"/>
        <w:ind w:firstLine="480"/>
        <w:jc w:val="left"/>
      </w:pPr>
      <w:r>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b/>
          <w:sz w:val="28"/>
        </w:rPr>
        <w:t>2.8.询问、质疑和投诉</w:t>
      </w:r>
    </w:p>
    <w:p>
      <w:pPr>
        <w:pStyle w:val="null3"/>
        <w:ind w:firstLine="480"/>
        <w:jc w:val="left"/>
      </w:pPr>
      <w:r>
        <w:rPr/>
        <w:t>一、询问、质疑、投诉的接收和处理严格按照《中华人民共和国政府采购法》《中华人民共和国政府采购法实施条例》《政府采购质疑和投诉办法》等规定办理。</w:t>
      </w:r>
    </w:p>
    <w:p>
      <w:pPr>
        <w:pStyle w:val="null3"/>
        <w:ind w:firstLine="480"/>
        <w:jc w:val="left"/>
      </w:pPr>
      <w:r>
        <w:rPr/>
        <w:t>二、供应商询问、质疑的答复主体：</w:t>
      </w:r>
    </w:p>
    <w:p>
      <w:pPr>
        <w:pStyle w:val="null3"/>
        <w:ind w:firstLine="480"/>
        <w:jc w:val="left"/>
      </w:pPr>
      <w:r>
        <w:rPr/>
        <w:t xml:space="preserve">根据委托代理协议约定，供应商对询价通知书中采购需求的询问、质疑由 </w:t>
      </w:r>
      <w:r>
        <w:rPr/>
        <w:t>巴中市巴州区兴文镇中心小学校</w:t>
      </w:r>
      <w:r>
        <w:rPr/>
        <w:t xml:space="preserve"> 负责答复；供应商对除采购需求外的询价通知书的询问、质疑由 </w:t>
      </w:r>
      <w:r>
        <w:rPr/>
        <w:t>巴中市巴州区政府采购中心</w:t>
      </w:r>
      <w:r>
        <w:rPr/>
        <w:t xml:space="preserve"> 负责答复；供应商对采购过程、采购结果的询问、质疑由 </w:t>
      </w:r>
      <w:r>
        <w:rPr/>
        <w:t>巴中市巴州区政府采购中心</w:t>
      </w:r>
      <w:r>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t>答复主体：采购人</w:t>
      </w:r>
    </w:p>
    <w:p>
      <w:pPr>
        <w:pStyle w:val="null3"/>
        <w:jc w:val="left"/>
      </w:pPr>
      <w:r>
        <w:rPr/>
        <w:t>联系人：王靖林</w:t>
      </w:r>
    </w:p>
    <w:p>
      <w:pPr>
        <w:pStyle w:val="null3"/>
        <w:jc w:val="left"/>
      </w:pPr>
      <w:r>
        <w:rPr/>
        <w:t>联系电话：15983989697</w:t>
      </w:r>
    </w:p>
    <w:p>
      <w:pPr>
        <w:pStyle w:val="null3"/>
        <w:jc w:val="left"/>
      </w:pPr>
      <w:r>
        <w:rPr/>
        <w:t>地址：巴中经开区中角街1号</w:t>
      </w:r>
    </w:p>
    <w:p>
      <w:pPr>
        <w:pStyle w:val="null3"/>
        <w:jc w:val="left"/>
      </w:pPr>
      <w:r>
        <w:rPr/>
        <w:t>邮编：636000</w:t>
      </w:r>
    </w:p>
    <w:p>
      <w:pPr>
        <w:pStyle w:val="null3"/>
        <w:jc w:val="left"/>
      </w:pPr>
      <w:r>
        <w:rPr/>
        <w:t>答复主体：代理机构</w:t>
      </w:r>
    </w:p>
    <w:p>
      <w:pPr>
        <w:pStyle w:val="null3"/>
        <w:jc w:val="left"/>
      </w:pPr>
      <w:r>
        <w:rPr/>
        <w:t>联系人：现场监督股</w:t>
      </w:r>
    </w:p>
    <w:p>
      <w:pPr>
        <w:pStyle w:val="null3"/>
        <w:jc w:val="left"/>
      </w:pPr>
      <w:r>
        <w:rPr/>
        <w:t>联系电话：0827-8668812</w:t>
      </w:r>
    </w:p>
    <w:p>
      <w:pPr>
        <w:pStyle w:val="null3"/>
        <w:jc w:val="left"/>
      </w:pPr>
      <w:r>
        <w:rPr/>
        <w:t>地址：巴中市巴州区广场街九州商业城4楼</w:t>
      </w:r>
    </w:p>
    <w:p>
      <w:pPr>
        <w:pStyle w:val="null3"/>
        <w:jc w:val="left"/>
      </w:pPr>
      <w:r>
        <w:rPr/>
        <w:t>邮编：636000</w:t>
      </w:r>
    </w:p>
    <w:p>
      <w:pPr>
        <w:pStyle w:val="null3"/>
        <w:ind w:firstLine="480"/>
        <w:jc w:val="left"/>
      </w:pPr>
      <w:r>
        <w:rPr/>
        <w:t>三、供应商提出的询问，应当明确询问事项，如以书面形式提出的，应由供应商签字并加盖公章。</w:t>
      </w:r>
    </w:p>
    <w:p>
      <w:pPr>
        <w:pStyle w:val="null3"/>
        <w:ind w:firstLine="480"/>
        <w:jc w:val="left"/>
      </w:pPr>
      <w:r>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（一）对可以质疑的询价通知书提出质疑的，为收到询价通知书之日或者询价通知书公告期限届满之日；</w:t>
      </w:r>
    </w:p>
    <w:p>
      <w:pPr>
        <w:pStyle w:val="null3"/>
        <w:ind w:firstLine="480"/>
        <w:jc w:val="left"/>
      </w:pPr>
      <w:r>
        <w:rPr/>
        <w:t>（二）对采购过程提出质疑的，为各采购程序环节结束之日；</w:t>
      </w:r>
    </w:p>
    <w:p>
      <w:pPr>
        <w:pStyle w:val="null3"/>
        <w:ind w:firstLine="480"/>
        <w:jc w:val="left"/>
      </w:pPr>
      <w:r>
        <w:rPr/>
        <w:t>（三）对成交结果提出质疑的，为成交结果公告期限届满之日。</w:t>
      </w:r>
    </w:p>
    <w:p>
      <w:pPr>
        <w:pStyle w:val="null3"/>
        <w:ind w:firstLine="480"/>
        <w:jc w:val="left"/>
      </w:pPr>
      <w:r>
        <w:rPr/>
        <w:t>五、供应商通过书面形式线下向采购人或者代理机构提交质疑资料。</w:t>
      </w:r>
    </w:p>
    <w:p>
      <w:pPr>
        <w:pStyle w:val="null3"/>
        <w:ind w:firstLine="480"/>
        <w:jc w:val="left"/>
      </w:pPr>
      <w:r>
        <w:rPr/>
        <w:t>六、供应商提出质疑时应当准备的资料:</w:t>
      </w:r>
    </w:p>
    <w:p>
      <w:pPr>
        <w:pStyle w:val="null3"/>
        <w:ind w:firstLine="480"/>
        <w:jc w:val="left"/>
      </w:pPr>
      <w:r>
        <w:rPr/>
        <w:t>（一）质疑函正本1份（政府采购供应商质疑函范本可在四川政府采购网下载专区下载）；</w:t>
      </w:r>
    </w:p>
    <w:p>
      <w:pPr>
        <w:pStyle w:val="null3"/>
        <w:ind w:firstLine="480"/>
        <w:jc w:val="left"/>
      </w:pPr>
      <w:r>
        <w:rPr/>
        <w:t>（二）法定代表人或主要负责人授权委托书1份（委托代理人办理质疑事宜的需提供）；</w:t>
      </w:r>
    </w:p>
    <w:p>
      <w:pPr>
        <w:pStyle w:val="null3"/>
        <w:ind w:firstLine="480"/>
        <w:jc w:val="left"/>
      </w:pPr>
      <w:r>
        <w:rPr/>
        <w:t>（三）法定代表人或主要负责人身份证复印件1份；</w:t>
      </w:r>
    </w:p>
    <w:p>
      <w:pPr>
        <w:pStyle w:val="null3"/>
        <w:ind w:firstLine="480"/>
        <w:jc w:val="left"/>
      </w:pPr>
      <w:r>
        <w:rPr/>
        <w:t>（四）委托代理人身份证复印件1份（委托代理人办理质疑事宜的需提供）；</w:t>
      </w:r>
    </w:p>
    <w:p>
      <w:pPr>
        <w:pStyle w:val="null3"/>
        <w:ind w:firstLine="480"/>
        <w:jc w:val="left"/>
      </w:pPr>
      <w:r>
        <w:rPr/>
        <w:t>（五）针对质疑事项必要的证明材料（针对询价通知书提出的质疑，需提交从交易系统获取的询价通知书回执单）。</w:t>
      </w:r>
    </w:p>
    <w:p>
      <w:pPr>
        <w:pStyle w:val="null3"/>
        <w:ind w:firstLine="480"/>
        <w:jc w:val="left"/>
      </w:pPr>
      <w:r>
        <w:rPr/>
        <w:t>注：根据《中华人民共和国政府采购法》的规定，供应商质疑不得超出询价通知书、采购过程、采购结果的范围。</w:t>
      </w:r>
    </w:p>
    <w:p>
      <w:pPr>
        <w:pStyle w:val="null3"/>
        <w:ind w:firstLine="480"/>
        <w:jc w:val="left"/>
      </w:pPr>
      <w:r>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t>财政部门联系方式详见四川政府采购网-下载专区-政府采购供应商投诉书范本-政府采购供应商投诉书范本及受理投诉联系方式。</w:t>
      </w:r>
    </w:p>
    <w:p>
      <w:pPr>
        <w:pStyle w:val="null3"/>
        <w:ind w:firstLine="480"/>
        <w:jc w:val="left"/>
      </w:pPr>
      <w:r>
        <w:rPr/>
        <w:t>八、法律责任</w:t>
      </w:r>
    </w:p>
    <w:p>
      <w:pPr>
        <w:pStyle w:val="null3"/>
        <w:ind w:firstLine="480"/>
        <w:jc w:val="left"/>
      </w:pPr>
      <w:r>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t>（一）拒收质疑供应商在法定质疑期内发出的质疑函；</w:t>
      </w:r>
    </w:p>
    <w:p>
      <w:pPr>
        <w:pStyle w:val="null3"/>
        <w:ind w:firstLine="480"/>
        <w:jc w:val="left"/>
      </w:pPr>
      <w:r>
        <w:rPr/>
        <w:t>（二）对质疑不予答复或者答复与事实明显不符，并不能作出合理说明；</w:t>
      </w:r>
    </w:p>
    <w:p>
      <w:pPr>
        <w:pStyle w:val="null3"/>
        <w:ind w:firstLine="480"/>
        <w:jc w:val="left"/>
      </w:pPr>
      <w:r>
        <w:rPr/>
        <w:t>（三）拒绝配合财政部门处理投诉事宜。</w:t>
      </w:r>
    </w:p>
    <w:p>
      <w:pPr>
        <w:pStyle w:val="null3"/>
        <w:ind w:firstLine="480"/>
        <w:jc w:val="left"/>
      </w:pPr>
      <w:r>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t>（一）捏造事实；</w:t>
      </w:r>
    </w:p>
    <w:p>
      <w:pPr>
        <w:pStyle w:val="null3"/>
        <w:ind w:firstLine="480"/>
        <w:jc w:val="left"/>
      </w:pPr>
      <w:r>
        <w:rPr/>
        <w:t>（二）提供虚假材料；</w:t>
      </w:r>
    </w:p>
    <w:p>
      <w:pPr>
        <w:pStyle w:val="null3"/>
        <w:ind w:firstLine="480"/>
        <w:jc w:val="left"/>
      </w:pPr>
      <w:r>
        <w:rPr/>
        <w:t>（三）以非法手段取得证明材料。证据来源的合法性存在明显疑问，供应商无法证明其取得方式合法的，视为以非法手段取得证明材料。</w:t>
      </w:r>
    </w:p>
    <w:p>
      <w:pPr>
        <w:pStyle w:val="null3"/>
        <w:jc w:val="left"/>
        <w:outlineLvl w:val="2"/>
      </w:pPr>
      <w:r>
        <w:rPr>
          <w:b/>
          <w:sz w:val="28"/>
        </w:rPr>
        <w:t>2.9.电子化采购特殊情形处理</w:t>
      </w:r>
    </w:p>
    <w:p>
      <w:pPr>
        <w:pStyle w:val="null3"/>
        <w:ind w:firstLine="480"/>
        <w:jc w:val="left"/>
      </w:pPr>
      <w:r>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b/>
          <w:sz w:val="24"/>
        </w:rPr>
        <w:t>2.9.1.平台系统故障处理</w:t>
      </w:r>
    </w:p>
    <w:p>
      <w:pPr>
        <w:pStyle w:val="null3"/>
        <w:ind w:firstLine="480"/>
        <w:jc w:val="left"/>
      </w:pPr>
      <w:r>
        <w:rPr/>
        <w:t>平台系统故障是指因平台所部署的基础软硬件环境、网络环境或者平台功能应用出现异常，导致的平台访问失败、数据出错或者规则失效等问题。</w:t>
      </w:r>
    </w:p>
    <w:p>
      <w:pPr>
        <w:pStyle w:val="null3"/>
        <w:ind w:firstLine="480"/>
        <w:jc w:val="left"/>
      </w:pPr>
      <w:r>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t>对经核实排查认定不属于平台系统故障的，采购人、代理机构、供应商、评审委员会应按政府采购法律制度和平台操作要求开展后续操作。</w:t>
      </w:r>
    </w:p>
    <w:p>
      <w:pPr>
        <w:pStyle w:val="null3"/>
        <w:ind w:firstLine="480"/>
        <w:jc w:val="left"/>
      </w:pPr>
      <w:r>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b/>
          <w:sz w:val="24"/>
        </w:rPr>
        <w:t>2.9.2.其他特殊情形处理</w:t>
      </w:r>
    </w:p>
    <w:p>
      <w:pPr>
        <w:pStyle w:val="null3"/>
        <w:ind w:firstLine="480"/>
        <w:jc w:val="left"/>
      </w:pPr>
      <w:r>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b/>
          <w:sz w:val="24"/>
        </w:rPr>
        <w:t>2.9.3.注意事项</w:t>
      </w:r>
    </w:p>
    <w:p>
      <w:pPr>
        <w:pStyle w:val="null3"/>
        <w:ind w:firstLine="480"/>
        <w:jc w:val="left"/>
      </w:pPr>
      <w:r>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b/>
          <w:sz w:val="28"/>
        </w:rPr>
        <w:t>2.10.样品评审</w:t>
      </w:r>
    </w:p>
    <w:p>
      <w:pPr>
        <w:pStyle w:val="null3"/>
        <w:ind w:firstLine="480"/>
        <w:jc w:val="left"/>
      </w:pPr>
      <w:r>
        <w:rPr/>
        <w:t>采购包1：不需要样品评审</w:t>
      </w:r>
    </w:p>
    <w:p>
      <w:pPr>
        <w:pStyle w:val="null3"/>
        <w:ind w:firstLine="480"/>
        <w:jc w:val="left"/>
      </w:pPr>
      <w:r>
        <w:rPr/>
        <w:t>要求提供样品评审的项目，样品评审环节采取线下方式进行。</w:t>
      </w:r>
    </w:p>
    <w:p>
      <w:pPr>
        <w:pStyle w:val="null3"/>
        <w:ind w:firstLine="480"/>
        <w:jc w:val="left"/>
      </w:pPr>
      <w:r>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t xml:space="preserve"> </w:t>
        <w:br/>
        <w:br w:type="page"/>
      </w:r>
    </w:p>
    <w:p>
      <w:pPr>
        <w:pStyle w:val="null3"/>
        <w:jc w:val="center"/>
        <w:outlineLvl w:val="1"/>
      </w:pPr>
      <w:r>
        <w:rPr>
          <w:b/>
          <w:sz w:val="36"/>
        </w:rPr>
        <w:t>第三章 技术、服务及其他要求</w:t>
      </w:r>
    </w:p>
    <w:p>
      <w:pPr>
        <w:pStyle w:val="null3"/>
        <w:ind w:firstLine="480"/>
        <w:jc w:val="left"/>
      </w:pPr>
      <w:r>
        <w:rPr/>
        <w:t>（注:本章的技术、服务及其他要求中，带“★”的要求为实质性要求。采购人、代理机构应当根据项目实际要求合理设定，并在第四章符合性审查中明确响应要求。）</w:t>
      </w:r>
    </w:p>
    <w:p>
      <w:pPr>
        <w:pStyle w:val="null3"/>
        <w:jc w:val="left"/>
        <w:outlineLvl w:val="2"/>
      </w:pPr>
      <w:r>
        <w:rPr>
          <w:b/>
          <w:sz w:val="28"/>
        </w:rPr>
        <w:t>3.1.采购内容</w:t>
      </w:r>
    </w:p>
    <w:p>
      <w:pPr>
        <w:pStyle w:val="null3"/>
        <w:jc w:val="left"/>
      </w:pPr>
      <w:r>
        <w:rPr/>
        <w:t>采购包1：</w:t>
      </w:r>
    </w:p>
    <w:p>
      <w:pPr>
        <w:pStyle w:val="null3"/>
        <w:jc w:val="left"/>
      </w:pPr>
      <w:r>
        <w:rPr/>
        <w:t>采购包预算金额（元）: 352,000.00</w:t>
      </w:r>
    </w:p>
    <w:p>
      <w:pPr>
        <w:pStyle w:val="null3"/>
        <w:jc w:val="left"/>
      </w:pPr>
      <w:r>
        <w:rPr/>
        <w:t>采购包最高限价（元）: 352,000.00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t>序号</w:t>
            </w:r>
          </w:p>
        </w:tc>
        <w:tc>
          <w:tcPr>
            <w:tcW w:type="dxa" w:w="821"/>
          </w:tcPr>
          <w:p>
            <w:pPr>
              <w:pStyle w:val="null3"/>
              <w:jc w:val="center"/>
            </w:pPr>
            <w:r>
              <w:rPr/>
              <w:t>采购品目名称</w:t>
            </w:r>
          </w:p>
        </w:tc>
        <w:tc>
          <w:tcPr>
            <w:tcW w:type="dxa" w:w="821"/>
          </w:tcPr>
          <w:p>
            <w:pPr>
              <w:pStyle w:val="null3"/>
              <w:jc w:val="center"/>
            </w:pPr>
            <w:r>
              <w:rPr/>
              <w:t>标的名称</w:t>
            </w:r>
          </w:p>
        </w:tc>
        <w:tc>
          <w:tcPr>
            <w:tcW w:type="dxa" w:w="821"/>
          </w:tcPr>
          <w:p>
            <w:pPr>
              <w:pStyle w:val="null3"/>
              <w:jc w:val="center"/>
            </w:pPr>
            <w:r>
              <w:rPr/>
              <w:t>数量</w:t>
            </w:r>
            <w:r>
              <w:br/>
            </w:r>
            <w:r>
              <w:rPr/>
              <w:t>(计量单位)</w:t>
            </w:r>
          </w:p>
        </w:tc>
        <w:tc>
          <w:tcPr>
            <w:tcW w:type="dxa" w:w="821"/>
          </w:tcPr>
          <w:p>
            <w:pPr>
              <w:pStyle w:val="null3"/>
              <w:jc w:val="center"/>
            </w:pPr>
            <w:r>
              <w:rPr/>
              <w:t>标的金额 （元）</w:t>
            </w:r>
          </w:p>
        </w:tc>
        <w:tc>
          <w:tcPr>
            <w:tcW w:type="dxa" w:w="821"/>
          </w:tcPr>
          <w:p>
            <w:pPr>
              <w:pStyle w:val="null3"/>
              <w:jc w:val="center"/>
            </w:pPr>
            <w:r>
              <w:rPr/>
              <w:t>所属行业</w:t>
            </w:r>
          </w:p>
        </w:tc>
        <w:tc>
          <w:tcPr>
            <w:tcW w:type="dxa" w:w="821"/>
          </w:tcPr>
          <w:p>
            <w:pPr>
              <w:pStyle w:val="null3"/>
              <w:jc w:val="center"/>
            </w:pPr>
            <w:r>
              <w:rPr/>
              <w:t>是否涉及核心产品</w:t>
            </w:r>
          </w:p>
        </w:tc>
        <w:tc>
          <w:tcPr>
            <w:tcW w:type="dxa" w:w="821"/>
          </w:tcPr>
          <w:p>
            <w:pPr>
              <w:pStyle w:val="null3"/>
              <w:jc w:val="center"/>
            </w:pPr>
            <w:r>
              <w:rPr/>
              <w:t>是否涉及采购进口产品</w:t>
            </w:r>
          </w:p>
        </w:tc>
        <w:tc>
          <w:tcPr>
            <w:tcW w:type="dxa" w:w="821"/>
          </w:tcPr>
          <w:p>
            <w:pPr>
              <w:pStyle w:val="null3"/>
              <w:jc w:val="center"/>
            </w:pPr>
            <w:r>
              <w:rPr/>
              <w:t>是否涉及强制采购节能产品</w:t>
            </w:r>
          </w:p>
        </w:tc>
        <w:tc>
          <w:tcPr>
            <w:tcW w:type="dxa" w:w="639"/>
          </w:tcPr>
          <w:p>
            <w:pPr>
              <w:pStyle w:val="null3"/>
              <w:jc w:val="center"/>
            </w:pPr>
            <w:r>
              <w:rPr/>
              <w:t>是否涉及优先采购节能产品</w:t>
            </w:r>
          </w:p>
        </w:tc>
        <w:tc>
          <w:tcPr>
            <w:tcW w:type="dxa" w:w="639"/>
          </w:tcPr>
          <w:p>
            <w:pPr>
              <w:pStyle w:val="null3"/>
              <w:jc w:val="center"/>
            </w:pPr>
            <w:r>
              <w:rPr/>
              <w:t>是否涉及优先采购环境标志产品</w:t>
            </w:r>
          </w:p>
        </w:tc>
      </w:tr>
      <w:tr>
        <w:tc>
          <w:tcPr>
            <w:tcW w:type="dxa" w:w="456"/>
          </w:tcPr>
          <w:p>
            <w:pPr>
              <w:pStyle w:val="null3"/>
              <w:jc w:val="left"/>
            </w:pPr>
            <w:r>
              <w:rPr/>
              <w:t>1</w:t>
            </w:r>
          </w:p>
        </w:tc>
        <w:tc>
          <w:tcPr>
            <w:tcW w:type="dxa" w:w="821"/>
          </w:tcPr>
          <w:p>
            <w:pPr>
              <w:pStyle w:val="null3"/>
              <w:jc w:val="left"/>
            </w:pPr>
            <w:r>
              <w:rPr/>
              <w:t>触控一体机</w:t>
            </w:r>
          </w:p>
        </w:tc>
        <w:tc>
          <w:tcPr>
            <w:tcW w:type="dxa" w:w="821"/>
          </w:tcPr>
          <w:p>
            <w:pPr>
              <w:pStyle w:val="null3"/>
              <w:jc w:val="left"/>
            </w:pPr>
            <w:r>
              <w:rPr/>
              <w:t>智慧黑板采购</w:t>
            </w:r>
          </w:p>
        </w:tc>
        <w:tc>
          <w:tcPr>
            <w:tcW w:type="dxa" w:w="821"/>
          </w:tcPr>
          <w:p>
            <w:pPr>
              <w:pStyle w:val="null3"/>
              <w:jc w:val="right"/>
            </w:pPr>
            <w:r>
              <w:rPr/>
              <w:t>11.00（套）</w:t>
            </w:r>
          </w:p>
        </w:tc>
        <w:tc>
          <w:tcPr>
            <w:tcW w:type="dxa" w:w="821"/>
          </w:tcPr>
          <w:p>
            <w:pPr>
              <w:pStyle w:val="null3"/>
              <w:jc w:val="right"/>
            </w:pPr>
            <w:r>
              <w:rPr/>
              <w:t>352,000.00</w:t>
            </w:r>
          </w:p>
        </w:tc>
        <w:tc>
          <w:tcPr>
            <w:tcW w:type="dxa" w:w="821"/>
          </w:tcPr>
          <w:p>
            <w:pPr>
              <w:pStyle w:val="null3"/>
              <w:jc w:val="left"/>
            </w:pPr>
            <w:r>
              <w:rPr/>
              <w:t>工业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是</w:t>
            </w:r>
          </w:p>
        </w:tc>
        <w:tc>
          <w:tcPr>
            <w:tcW w:type="dxa" w:w="639"/>
          </w:tcPr>
          <w:p>
            <w:pPr>
              <w:pStyle w:val="null3"/>
              <w:jc w:val="left"/>
            </w:pPr>
            <w:r>
              <w:rPr/>
              <w:t>否</w:t>
            </w:r>
          </w:p>
        </w:tc>
        <w:tc>
          <w:tcPr>
            <w:tcW w:type="dxa" w:w="639"/>
          </w:tcPr>
          <w:p>
            <w:pPr>
              <w:pStyle w:val="null3"/>
              <w:jc w:val="left"/>
            </w:pPr>
            <w:r>
              <w:rPr/>
              <w:t>是</w:t>
            </w:r>
          </w:p>
        </w:tc>
      </w:tr>
    </w:tbl>
    <w:p>
      <w:pPr>
        <w:pStyle w:val="null3"/>
        <w:jc w:val="left"/>
        <w:outlineLvl w:val="3"/>
      </w:pPr>
      <w:r>
        <w:rPr>
          <w:b/>
          <w:sz w:val="24"/>
        </w:rPr>
        <w:t>报价要求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879"/>
        <w:gridCol w:w="1466"/>
        <w:gridCol w:w="977"/>
        <w:gridCol w:w="1173"/>
        <w:gridCol w:w="1173"/>
        <w:gridCol w:w="977"/>
        <w:gridCol w:w="1661"/>
      </w:tblGrid>
      <w:tr>
        <w:tc>
          <w:tcPr>
            <w:tcW w:type="dxa" w:w="879"/>
          </w:tcPr>
          <w:p>
            <w:pPr>
              <w:pStyle w:val="null3"/>
              <w:jc w:val="center"/>
            </w:pPr>
            <w:r>
              <w:rPr/>
              <w:t>序号</w:t>
            </w:r>
          </w:p>
        </w:tc>
        <w:tc>
          <w:tcPr>
            <w:tcW w:type="dxa" w:w="1466"/>
          </w:tcPr>
          <w:p>
            <w:pPr>
              <w:pStyle w:val="null3"/>
              <w:jc w:val="center"/>
            </w:pPr>
            <w:r>
              <w:rPr/>
              <w:t>报价内容</w:t>
            </w:r>
          </w:p>
        </w:tc>
        <w:tc>
          <w:tcPr>
            <w:tcW w:type="dxa" w:w="977"/>
          </w:tcPr>
          <w:p>
            <w:pPr>
              <w:pStyle w:val="null3"/>
              <w:jc w:val="center"/>
            </w:pPr>
            <w:r>
              <w:rPr/>
              <w:t>数量</w:t>
            </w:r>
          </w:p>
        </w:tc>
        <w:tc>
          <w:tcPr>
            <w:tcW w:type="dxa" w:w="1173"/>
          </w:tcPr>
          <w:p>
            <w:pPr>
              <w:pStyle w:val="null3"/>
              <w:jc w:val="center"/>
            </w:pPr>
            <w:r>
              <w:rPr/>
              <w:t>单价</w:t>
            </w:r>
          </w:p>
        </w:tc>
        <w:tc>
          <w:tcPr>
            <w:tcW w:type="dxa" w:w="1173"/>
          </w:tcPr>
          <w:p>
            <w:pPr>
              <w:pStyle w:val="null3"/>
              <w:jc w:val="center"/>
            </w:pPr>
            <w:r>
              <w:rPr/>
              <w:t>最高限价</w:t>
            </w:r>
          </w:p>
        </w:tc>
        <w:tc>
          <w:tcPr>
            <w:tcW w:type="dxa" w:w="977"/>
          </w:tcPr>
          <w:p>
            <w:pPr>
              <w:pStyle w:val="null3"/>
              <w:jc w:val="center"/>
            </w:pPr>
            <w:r>
              <w:rPr/>
              <w:t>价款形式</w:t>
            </w:r>
          </w:p>
        </w:tc>
        <w:tc>
          <w:tcPr>
            <w:tcW w:type="dxa" w:w="1661"/>
          </w:tcPr>
          <w:p>
            <w:pPr>
              <w:pStyle w:val="null3"/>
              <w:jc w:val="center"/>
            </w:pPr>
            <w:r>
              <w:rPr/>
              <w:t>报价说明</w:t>
            </w:r>
          </w:p>
        </w:tc>
      </w:tr>
      <w:tr>
        <w:tc>
          <w:tcPr>
            <w:tcW w:type="dxa" w:w="879"/>
          </w:tcPr>
          <w:p>
            <w:pPr>
              <w:pStyle w:val="null3"/>
              <w:jc w:val="left"/>
            </w:pPr>
            <w:r>
              <w:rPr/>
              <w:t>1</w:t>
            </w:r>
          </w:p>
        </w:tc>
        <w:tc>
          <w:tcPr>
            <w:tcW w:type="dxa" w:w="1466"/>
          </w:tcPr>
          <w:p>
            <w:pPr>
              <w:pStyle w:val="null3"/>
              <w:jc w:val="left"/>
            </w:pPr>
            <w:r>
              <w:rPr/>
              <w:t>智慧黑板采购</w:t>
            </w:r>
          </w:p>
        </w:tc>
        <w:tc>
          <w:tcPr>
            <w:tcW w:type="dxa" w:w="977"/>
          </w:tcPr>
          <w:p>
            <w:pPr>
              <w:pStyle w:val="null3"/>
              <w:jc w:val="right"/>
            </w:pPr>
            <w:r>
              <w:rPr/>
              <w:t>11.00（套）</w:t>
            </w:r>
          </w:p>
        </w:tc>
        <w:tc>
          <w:tcPr>
            <w:tcW w:type="dxa" w:w="1173"/>
          </w:tcPr>
          <w:p>
            <w:pPr>
              <w:pStyle w:val="null3"/>
              <w:jc w:val="right"/>
            </w:pPr>
            <w:r>
              <w:rPr/>
              <w:t>32,000（元）</w:t>
            </w:r>
          </w:p>
        </w:tc>
        <w:tc>
          <w:tcPr>
            <w:tcW w:type="dxa" w:w="1173"/>
          </w:tcPr>
          <w:p>
            <w:pPr>
              <w:pStyle w:val="null3"/>
              <w:jc w:val="right"/>
            </w:pPr>
            <w:r>
              <w:rPr/>
              <w:t>352,000.00</w:t>
            </w:r>
          </w:p>
        </w:tc>
        <w:tc>
          <w:tcPr>
            <w:tcW w:type="dxa" w:w="977"/>
          </w:tcPr>
          <w:p>
            <w:pPr>
              <w:pStyle w:val="null3"/>
              <w:jc w:val="left"/>
            </w:pPr>
            <w:r>
              <w:rPr/>
              <w:t>总价</w:t>
            </w:r>
          </w:p>
        </w:tc>
        <w:tc>
          <w:tcPr>
            <w:tcW w:type="dxa" w:w="1661"/>
          </w:tcPr>
          <w:p>
            <w:pPr>
              <w:pStyle w:val="null3"/>
              <w:jc w:val="left"/>
            </w:pPr>
            <w:r>
              <w:rPr/>
              <w:t>无</w:t>
            </w:r>
          </w:p>
        </w:tc>
      </w:tr>
    </w:tbl>
    <w:p>
      <w:pPr>
        <w:pStyle w:val="null3"/>
        <w:ind w:firstLine="480"/>
        <w:jc w:val="left"/>
      </w:pPr>
      <w:r>
        <w:rPr/>
        <w:t>★注：供应商响应产品应当明确品牌和规格型号并指向唯一产品，不能指向唯一产品的，应通过报价表唯一产品说明栏补充说明。</w:t>
      </w:r>
    </w:p>
    <w:p>
      <w:pPr>
        <w:pStyle w:val="null3"/>
        <w:jc w:val="left"/>
      </w:pPr>
      <w:r>
        <w:rPr>
          <w:b/>
        </w:rPr>
        <w:t>本项目涉及核心产品：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触控一体机</w:t>
            </w:r>
          </w:p>
        </w:tc>
        <w:tc>
          <w:tcPr>
            <w:tcW w:type="dxa" w:w="2492"/>
          </w:tcPr>
          <w:p>
            <w:pPr>
              <w:pStyle w:val="null3"/>
              <w:jc w:val="left"/>
            </w:pPr>
            <w:r>
              <w:rPr/>
              <w:t>智慧黑板采购</w:t>
            </w:r>
          </w:p>
        </w:tc>
        <w:tc>
          <w:tcPr>
            <w:tcW w:type="dxa" w:w="2492"/>
          </w:tcPr>
          <w:p>
            <w:pPr>
              <w:pStyle w:val="null3"/>
              <w:jc w:val="left"/>
            </w:pPr>
            <w:r>
              <w:rPr/>
              <w:t>智慧黑板</w:t>
            </w:r>
          </w:p>
        </w:tc>
      </w:tr>
    </w:tbl>
    <w:p>
      <w:pPr>
        <w:pStyle w:val="null3"/>
        <w:ind w:firstLine="480"/>
        <w:jc w:val="left"/>
      </w:pPr>
      <w:r>
        <w:rPr/>
        <w:t>注：涉及核心产品的，具体评审规定见第四章。</w:t>
      </w:r>
    </w:p>
    <w:p>
      <w:pPr>
        <w:pStyle w:val="null3"/>
        <w:jc w:val="left"/>
      </w:pPr>
      <w:r>
        <w:rPr>
          <w:b/>
        </w:rPr>
        <w:t>本项目涉及采购进口产品：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★注：不涉及采购进口产品时，供应商不得提供进口产品进行响应；涉及采购进口产品时，如国产产品满足采购需求，也可提供国产产品进行响应。</w:t>
      </w:r>
    </w:p>
    <w:p>
      <w:pPr>
        <w:pStyle w:val="null3"/>
        <w:jc w:val="left"/>
      </w:pPr>
      <w:r>
        <w:rPr>
          <w:b/>
        </w:rPr>
        <w:t>本项目涉及强制采购节能产品：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触控一体机</w:t>
            </w:r>
          </w:p>
        </w:tc>
        <w:tc>
          <w:tcPr>
            <w:tcW w:type="dxa" w:w="2492"/>
          </w:tcPr>
          <w:p>
            <w:pPr>
              <w:pStyle w:val="null3"/>
              <w:jc w:val="left"/>
            </w:pPr>
            <w:r>
              <w:rPr/>
              <w:t>智慧黑板采购</w:t>
            </w:r>
          </w:p>
        </w:tc>
        <w:tc>
          <w:tcPr>
            <w:tcW w:type="dxa" w:w="2492"/>
          </w:tcPr>
          <w:p>
            <w:pPr>
              <w:pStyle w:val="null3"/>
              <w:jc w:val="left"/>
            </w:pPr>
            <w:r>
              <w:rPr/>
              <w:t>智慧黑板</w:t>
            </w:r>
          </w:p>
        </w:tc>
      </w:tr>
    </w:tbl>
    <w:p>
      <w:pPr>
        <w:pStyle w:val="null3"/>
        <w:ind w:firstLine="480"/>
        <w:jc w:val="left"/>
      </w:pPr>
      <w:r>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b/>
        </w:rPr>
        <w:t>本项目涉及优先采购节能产品：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b/>
        </w:rPr>
        <w:t>本项目涉及优先采购环境标志产品：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触控一体机</w:t>
            </w:r>
          </w:p>
        </w:tc>
        <w:tc>
          <w:tcPr>
            <w:tcW w:type="dxa" w:w="2492"/>
          </w:tcPr>
          <w:p>
            <w:pPr>
              <w:pStyle w:val="null3"/>
              <w:jc w:val="left"/>
            </w:pPr>
            <w:r>
              <w:rPr/>
              <w:t>智慧黑板采购</w:t>
            </w:r>
          </w:p>
        </w:tc>
        <w:tc>
          <w:tcPr>
            <w:tcW w:type="dxa" w:w="2492"/>
          </w:tcPr>
          <w:p>
            <w:pPr>
              <w:pStyle w:val="null3"/>
              <w:jc w:val="left"/>
            </w:pPr>
            <w:r>
              <w:rPr/>
              <w:t>智慧黑板</w:t>
            </w:r>
          </w:p>
        </w:tc>
      </w:tr>
    </w:tbl>
    <w:p>
      <w:pPr>
        <w:pStyle w:val="null3"/>
        <w:ind w:firstLine="480"/>
        <w:jc w:val="left"/>
      </w:pPr>
      <w:r>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b/>
          <w:sz w:val="28"/>
        </w:rPr>
        <w:t>3.2.技术要求</w:t>
      </w:r>
    </w:p>
    <w:p>
      <w:pPr>
        <w:pStyle w:val="null3"/>
        <w:jc w:val="left"/>
      </w:pPr>
      <w:r>
        <w:rPr/>
        <w:t>采购包1：</w:t>
      </w:r>
    </w:p>
    <w:p>
      <w:pPr>
        <w:pStyle w:val="null3"/>
        <w:jc w:val="left"/>
      </w:pPr>
      <w:r>
        <w:rPr/>
        <w:t>标的名称：智慧黑板采购</w:t>
      </w:r>
    </w:p>
    <w:tbl>
      <w:tblPr>
        <w:tblW w:w="0" w:type="auto"/>
        <w:tblBorders>
          <w:top w:val="single"/>
          <w:left w:val="single"/>
          <w:bottom w:val="single"/>
          <w:right w:val="single"/>
          <w:insideH w:val="single"/>
          <w:insideV w:val="single"/>
        </w:tblBorders>
      </w:tblPr>
      <w:tblGrid>
        <w:gridCol w:w="831"/>
        <w:gridCol w:w="1246"/>
        <w:gridCol w:w="2492"/>
        <w:gridCol w:w="3738"/>
      </w:tblGrid>
      <w:tr>
        <w:tc>
          <w:tcPr>
            <w:tcW w:type="dxa" w:w="831"/>
          </w:tcPr>
          <w:p>
            <w:pPr>
              <w:pStyle w:val="null3"/>
              <w:jc w:val="center"/>
            </w:pPr>
            <w:r>
              <w:rPr/>
              <w:t>序号</w:t>
            </w:r>
          </w:p>
        </w:tc>
        <w:tc>
          <w:tcPr>
            <w:tcW w:type="dxa" w:w="1246"/>
          </w:tcPr>
          <w:p>
            <w:pPr>
              <w:pStyle w:val="null3"/>
              <w:jc w:val="center"/>
            </w:pPr>
            <w:r>
              <w:rPr/>
              <w:t>符号标识</w:t>
            </w:r>
          </w:p>
        </w:tc>
        <w:tc>
          <w:tcPr>
            <w:tcW w:type="dxa" w:w="2492"/>
          </w:tcPr>
          <w:p>
            <w:pPr>
              <w:pStyle w:val="null3"/>
              <w:jc w:val="center"/>
            </w:pPr>
            <w:r>
              <w:rPr/>
              <w:t>技术要求名称</w:t>
            </w:r>
          </w:p>
        </w:tc>
        <w:tc>
          <w:tcPr>
            <w:tcW w:type="dxa" w:w="3738"/>
          </w:tcPr>
          <w:p>
            <w:pPr>
              <w:pStyle w:val="null3"/>
              <w:jc w:val="center"/>
            </w:pPr>
            <w:r>
              <w:rPr/>
              <w:t>技术参数与性能指标</w:t>
            </w:r>
          </w:p>
        </w:tc>
      </w:tr>
      <w:tr>
        <w:tc>
          <w:tcPr>
            <w:tcW w:type="dxa" w:w="831"/>
          </w:tcPr>
          <w:p>
            <w:pPr>
              <w:pStyle w:val="null3"/>
              <w:jc w:val="left"/>
            </w:pPr>
            <w:r>
              <w:rPr/>
              <w:t>1</w:t>
            </w:r>
          </w:p>
        </w:tc>
        <w:tc>
          <w:tcPr>
            <w:tcW w:type="dxa" w:w="1246"/>
          </w:tcPr>
          <w:p/>
        </w:tc>
        <w:tc>
          <w:tcPr>
            <w:tcW w:type="dxa" w:w="2492"/>
          </w:tcPr>
          <w:p/>
        </w:tc>
        <w:tc>
          <w:tcPr>
            <w:tcW w:type="dxa" w:w="3738"/>
          </w:tcPr>
          <w:tbl>
            <w:tblPr>
              <w:tblInd w:type="dxa" w:w="105"/>
              <w:tblBorders>
                <w:top w:val="single"/>
                <w:left w:val="single"/>
                <w:bottom w:val="single"/>
                <w:right w:val="single"/>
                <w:insideH w:val="single"/>
                <w:insideV w:val="single"/>
              </w:tblBorders>
            </w:tblPr>
            <w:tblGrid>
              <w:gridCol w:w="544"/>
              <w:gridCol w:w="706"/>
              <w:gridCol w:w="1402"/>
              <w:gridCol w:w="392"/>
              <w:gridCol w:w="482"/>
            </w:tblGrid>
            <w:tr>
              <w:tc>
                <w:tcPr>
                  <w:tcW w:type="dxa" w:w="544"/>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20"/>
                    <w:jc w:val="both"/>
                  </w:pPr>
                  <w:r>
                    <w:rPr>
                      <w:rFonts w:ascii="仿宋" w:hAnsi="仿宋" w:cs="仿宋" w:eastAsia="仿宋"/>
                      <w:color w:val="000000"/>
                      <w:sz w:val="24"/>
                      <w:shd w:fill="FFFFFF" w:val="clear"/>
                    </w:rPr>
                    <w:t>序号</w:t>
                  </w:r>
                </w:p>
              </w:tc>
              <w:tc>
                <w:tcPr>
                  <w:tcW w:type="dxa" w:w="70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both"/>
                  </w:pPr>
                  <w:r>
                    <w:rPr>
                      <w:rFonts w:ascii="仿宋" w:hAnsi="仿宋" w:cs="仿宋" w:eastAsia="仿宋"/>
                      <w:color w:val="000000"/>
                      <w:sz w:val="24"/>
                      <w:shd w:fill="FFFFFF" w:val="clear"/>
                    </w:rPr>
                    <w:t>内容</w:t>
                  </w:r>
                </w:p>
              </w:tc>
              <w:tc>
                <w:tcPr>
                  <w:tcW w:type="dxa" w:w="140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both"/>
                  </w:pPr>
                  <w:r>
                    <w:rPr>
                      <w:rFonts w:ascii="仿宋" w:hAnsi="仿宋" w:cs="仿宋" w:eastAsia="仿宋"/>
                      <w:color w:val="000000"/>
                      <w:sz w:val="24"/>
                      <w:shd w:fill="FFFFFF" w:val="clear"/>
                    </w:rPr>
                    <w:t>详细要求</w:t>
                  </w:r>
                </w:p>
              </w:tc>
              <w:tc>
                <w:tcPr>
                  <w:tcW w:type="dxa" w:w="39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both"/>
                  </w:pPr>
                  <w:r>
                    <w:rPr>
                      <w:rFonts w:ascii="仿宋" w:hAnsi="仿宋" w:cs="仿宋" w:eastAsia="仿宋"/>
                      <w:color w:val="000000"/>
                      <w:sz w:val="24"/>
                      <w:shd w:fill="FFFFFF" w:val="clear"/>
                    </w:rPr>
                    <w:t>数量</w:t>
                  </w:r>
                </w:p>
              </w:tc>
              <w:tc>
                <w:tcPr>
                  <w:tcW w:type="dxa" w:w="48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both"/>
                  </w:pPr>
                  <w:r>
                    <w:rPr>
                      <w:rFonts w:ascii="仿宋" w:hAnsi="仿宋" w:cs="仿宋" w:eastAsia="仿宋"/>
                      <w:color w:val="000000"/>
                      <w:sz w:val="24"/>
                      <w:shd w:fill="FFFFFF" w:val="clear"/>
                    </w:rPr>
                    <w:t>备注</w:t>
                  </w:r>
                </w:p>
              </w:tc>
            </w:tr>
            <w:tr>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20"/>
                    <w:jc w:val="center"/>
                  </w:pPr>
                  <w:r>
                    <w:rPr>
                      <w:rFonts w:ascii="方正仿宋_gb2312" w:hAnsi="方正仿宋_gb2312" w:cs="方正仿宋_gb2312" w:eastAsia="方正仿宋_gb2312"/>
                      <w:color w:val="000000"/>
                      <w:sz w:val="24"/>
                      <w:shd w:fill="FFFFFF" w:val="clear"/>
                    </w:rPr>
                    <w:t>1</w:t>
                  </w:r>
                </w:p>
              </w:tc>
              <w:tc>
                <w:tcPr>
                  <w:tcW w:type="dxa" w:w="7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方正仿宋_gb2312" w:hAnsi="方正仿宋_gb2312" w:cs="方正仿宋_gb2312" w:eastAsia="方正仿宋_gb2312"/>
                      <w:b/>
                      <w:color w:val="000000"/>
                      <w:sz w:val="24"/>
                      <w:shd w:fill="FFFFFF" w:val="clear"/>
                    </w:rPr>
                    <w:t>智慧黑板</w:t>
                  </w:r>
                </w:p>
              </w:tc>
              <w:tc>
                <w:tcPr>
                  <w:tcW w:type="dxa" w:w="14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方正仿宋_gb2312" w:hAnsi="方正仿宋_gb2312" w:cs="方正仿宋_gb2312" w:eastAsia="方正仿宋_gb2312"/>
                      <w:sz w:val="24"/>
                    </w:rPr>
                    <w:t>（一）、硬件要求</w:t>
                  </w:r>
                </w:p>
                <w:p>
                  <w:pPr>
                    <w:pStyle w:val="null3"/>
                    <w:jc w:val="both"/>
                  </w:pPr>
                  <w:r>
                    <w:rPr>
                      <w:rFonts w:ascii="方正仿宋_gb2312" w:hAnsi="方正仿宋_gb2312" w:cs="方正仿宋_gb2312" w:eastAsia="方正仿宋_gb2312"/>
                      <w:sz w:val="24"/>
                    </w:rPr>
                    <w:t>1.采用中置屏幕两侧黑板设计，平面一体化无推拉式结构，采用金属材质背板，整体宽度≥4200mm，高度≥1200mm，中间屏幕尺寸≥86英寸，分辨率≥3840×2160，处理器主频≥2.0GHz，内存≥8G DDR4，硬盘≥250G SSD。</w:t>
                  </w:r>
                </w:p>
                <w:p>
                  <w:pPr>
                    <w:pStyle w:val="null3"/>
                    <w:jc w:val="both"/>
                  </w:pPr>
                  <w:r>
                    <w:rPr>
                      <w:rFonts w:ascii="方正仿宋_gb2312" w:hAnsi="方正仿宋_gb2312" w:cs="方正仿宋_gb2312" w:eastAsia="方正仿宋_gb2312"/>
                      <w:sz w:val="24"/>
                    </w:rPr>
                    <w:t>2.屏幕采用钢化玻璃覆盖，具备防眩光效果，玻璃表面硬度≥8H。</w:t>
                  </w:r>
                </w:p>
                <w:p>
                  <w:pPr>
                    <w:pStyle w:val="null3"/>
                    <w:jc w:val="both"/>
                  </w:pPr>
                  <w:r>
                    <w:rPr>
                      <w:rFonts w:ascii="calibri, sans-serif" w:hAnsi="calibri, sans-serif" w:cs="calibri, sans-serif" w:eastAsia="calibri, sans-serif"/>
                      <w:b/>
                      <w:sz w:val="24"/>
                    </w:rPr>
                    <w:t>3.★</w:t>
                  </w:r>
                  <w:r>
                    <w:rPr>
                      <w:rFonts w:ascii="方正仿宋_gb2312" w:hAnsi="方正仿宋_gb2312" w:cs="方正仿宋_gb2312" w:eastAsia="方正仿宋_gb2312"/>
                      <w:sz w:val="24"/>
                    </w:rPr>
                    <w:t>OPS</w:t>
                  </w:r>
                  <w:r>
                    <w:rPr>
                      <w:rFonts w:ascii="方正仿宋_gb2312" w:hAnsi="方正仿宋_gb2312" w:cs="方正仿宋_gb2312" w:eastAsia="方正仿宋_gb2312"/>
                      <w:sz w:val="24"/>
                    </w:rPr>
                    <w:t>模块采用按压式卡扣，无螺丝结构。（提供产品实物图片）</w:t>
                  </w:r>
                </w:p>
                <w:p>
                  <w:pPr>
                    <w:pStyle w:val="null3"/>
                    <w:jc w:val="both"/>
                  </w:pPr>
                  <w:r>
                    <w:rPr>
                      <w:rFonts w:ascii="calibri, sans-serif" w:hAnsi="calibri, sans-serif" w:cs="calibri, sans-serif" w:eastAsia="calibri, sans-serif"/>
                      <w:b/>
                      <w:sz w:val="24"/>
                    </w:rPr>
                    <w:t>4.★</w:t>
                  </w:r>
                  <w:r>
                    <w:rPr>
                      <w:rFonts w:ascii="方正仿宋_gb2312" w:hAnsi="方正仿宋_gb2312" w:cs="方正仿宋_gb2312" w:eastAsia="方正仿宋_gb2312"/>
                      <w:sz w:val="24"/>
                    </w:rPr>
                    <w:t>OPS</w:t>
                  </w:r>
                  <w:r>
                    <w:rPr>
                      <w:rFonts w:ascii="方正仿宋_gb2312" w:hAnsi="方正仿宋_gb2312" w:cs="方正仿宋_gb2312" w:eastAsia="方正仿宋_gb2312"/>
                      <w:sz w:val="24"/>
                    </w:rPr>
                    <w:t>模块与整机连接接口针脚总数≤60pin，嵌入式系统≥Android 13版本。（签订合同时需提供具有CMA认证的第三方检测报告复印件并加盖供应商公章）</w:t>
                  </w:r>
                </w:p>
                <w:p>
                  <w:pPr>
                    <w:pStyle w:val="null3"/>
                    <w:jc w:val="both"/>
                  </w:pPr>
                  <w:r>
                    <w:rPr>
                      <w:rFonts w:ascii="方正仿宋_gb2312" w:hAnsi="方正仿宋_gb2312" w:cs="方正仿宋_gb2312" w:eastAsia="方正仿宋_gb2312"/>
                      <w:sz w:val="24"/>
                    </w:rPr>
                    <w:t>5.支持Windows系统中进行20点或以上触控，支持在Android系统中进行20点或以上触控。</w:t>
                  </w:r>
                </w:p>
                <w:p>
                  <w:pPr>
                    <w:pStyle w:val="null3"/>
                    <w:jc w:val="both"/>
                  </w:pPr>
                  <w:r>
                    <w:rPr>
                      <w:rFonts w:ascii="方正仿宋_gb2312" w:hAnsi="方正仿宋_gb2312" w:cs="方正仿宋_gb2312" w:eastAsia="方正仿宋_gb2312"/>
                      <w:sz w:val="24"/>
                    </w:rPr>
                    <w:t>6.前置≥2路USB3.0和1路Type C，侧置≥1路HDMI、1路触控USB和1路RS232。</w:t>
                  </w:r>
                </w:p>
                <w:p>
                  <w:pPr>
                    <w:pStyle w:val="null3"/>
                    <w:jc w:val="both"/>
                  </w:pPr>
                  <w:r>
                    <w:rPr>
                      <w:rFonts w:ascii="calibri, sans-serif" w:hAnsi="calibri, sans-serif" w:cs="calibri, sans-serif" w:eastAsia="calibri, sans-serif"/>
                      <w:b/>
                      <w:sz w:val="24"/>
                    </w:rPr>
                    <w:t>7.★</w:t>
                  </w:r>
                  <w:r>
                    <w:rPr>
                      <w:rFonts w:ascii="方正仿宋_gb2312" w:hAnsi="方正仿宋_gb2312" w:cs="方正仿宋_gb2312" w:eastAsia="方正仿宋_gb2312"/>
                      <w:sz w:val="24"/>
                    </w:rPr>
                    <w:t>内置2.2声道扬声器，顶置朝前发声，扬声器数量≥4个，额定总功率60W，可进行高级音效设置，支持左右声道平衡调节。</w:t>
                  </w:r>
                </w:p>
                <w:p>
                  <w:pPr>
                    <w:pStyle w:val="null3"/>
                    <w:jc w:val="both"/>
                  </w:pPr>
                  <w:r>
                    <w:rPr>
                      <w:rFonts w:ascii="calibri, sans-serif" w:hAnsi="calibri, sans-serif" w:cs="calibri, sans-serif" w:eastAsia="calibri, sans-serif"/>
                      <w:b/>
                      <w:sz w:val="24"/>
                    </w:rPr>
                    <w:t>8.★</w:t>
                  </w:r>
                  <w:r>
                    <w:rPr>
                      <w:rFonts w:ascii="方正仿宋_gb2312" w:hAnsi="方正仿宋_gb2312" w:cs="方正仿宋_gb2312" w:eastAsia="方正仿宋_gb2312"/>
                      <w:sz w:val="24"/>
                    </w:rPr>
                    <w:t>内置摄像头≥4个，至少分为两组，一组为三镜头拼接结构，一组为独立单摄像头，具有摄像头工作状态指示灯。（提供产品实物图片）</w:t>
                  </w:r>
                </w:p>
                <w:p>
                  <w:pPr>
                    <w:pStyle w:val="null3"/>
                    <w:jc w:val="both"/>
                  </w:pPr>
                  <w:r>
                    <w:rPr>
                      <w:rFonts w:ascii="calibri, sans-serif" w:hAnsi="calibri, sans-serif" w:cs="calibri, sans-serif" w:eastAsia="calibri, sans-serif"/>
                      <w:b/>
                      <w:sz w:val="24"/>
                    </w:rPr>
                    <w:t>9.★</w:t>
                  </w:r>
                  <w:r>
                    <w:rPr>
                      <w:rFonts w:ascii="方正仿宋_gb2312" w:hAnsi="方正仿宋_gb2312" w:cs="方正仿宋_gb2312" w:eastAsia="方正仿宋_gb2312"/>
                      <w:sz w:val="24"/>
                    </w:rPr>
                    <w:t>摄像头拍摄像素≥1300W，视场角≥140度，内置麦克风≥8阵列，拾音角度≥180°，拾音距离≥10m。</w:t>
                  </w:r>
                </w:p>
                <w:p>
                  <w:pPr>
                    <w:pStyle w:val="null3"/>
                    <w:jc w:val="both"/>
                  </w:pPr>
                  <w:r>
                    <w:rPr>
                      <w:rFonts w:ascii="calibri, sans-serif" w:hAnsi="calibri, sans-serif" w:cs="calibri, sans-serif" w:eastAsia="calibri, sans-serif"/>
                      <w:b/>
                      <w:sz w:val="24"/>
                    </w:rPr>
                    <w:t>10.★</w:t>
                  </w:r>
                  <w:r>
                    <w:rPr>
                      <w:rFonts w:ascii="方正仿宋_gb2312" w:hAnsi="方正仿宋_gb2312" w:cs="方正仿宋_gb2312" w:eastAsia="方正仿宋_gb2312"/>
                      <w:sz w:val="24"/>
                    </w:rPr>
                    <w:t>前置按键≤6个，至少具有电源、音量调节、设置按键。（提供产品实物图片）</w:t>
                  </w:r>
                </w:p>
                <w:p>
                  <w:pPr>
                    <w:pStyle w:val="null3"/>
                    <w:jc w:val="both"/>
                  </w:pPr>
                  <w:r>
                    <w:rPr>
                      <w:rFonts w:ascii="calibri, sans-serif" w:hAnsi="calibri, sans-serif" w:cs="calibri, sans-serif" w:eastAsia="calibri, sans-serif"/>
                      <w:b/>
                      <w:sz w:val="24"/>
                    </w:rPr>
                    <w:t>11.★</w:t>
                  </w:r>
                  <w:r>
                    <w:rPr>
                      <w:rFonts w:ascii="方正仿宋_gb2312" w:hAnsi="方正仿宋_gb2312" w:cs="方正仿宋_gb2312" w:eastAsia="方正仿宋_gb2312"/>
                      <w:sz w:val="24"/>
                    </w:rPr>
                    <w:t>内置双无线模块，支持Wifi 6，支持蓝牙≥5.4版本，Wi-Fi及AP热点支持频段2.4GHz/5GHz。（签订合同时需提供具有CMA认证的第三方检测报告复印件并加盖供应商公章）</w:t>
                  </w:r>
                </w:p>
                <w:p>
                  <w:pPr>
                    <w:pStyle w:val="null3"/>
                    <w:jc w:val="both"/>
                  </w:pPr>
                  <w:r>
                    <w:rPr>
                      <w:rFonts w:ascii="方正仿宋_gb2312" w:hAnsi="方正仿宋_gb2312" w:cs="方正仿宋_gb2312" w:eastAsia="方正仿宋_gb2312"/>
                      <w:sz w:val="24"/>
                    </w:rPr>
                    <w:t>（二）、性能要求</w:t>
                  </w:r>
                </w:p>
                <w:p>
                  <w:pPr>
                    <w:pStyle w:val="null3"/>
                    <w:jc w:val="both"/>
                  </w:pPr>
                  <w:r>
                    <w:rPr>
                      <w:rFonts w:ascii="calibri, sans-serif" w:hAnsi="calibri, sans-serif" w:cs="calibri, sans-serif" w:eastAsia="calibri, sans-serif"/>
                      <w:b/>
                      <w:sz w:val="24"/>
                    </w:rPr>
                    <w:t>1.★</w:t>
                  </w:r>
                  <w:r>
                    <w:rPr>
                      <w:rFonts w:ascii="方正仿宋_gb2312" w:hAnsi="方正仿宋_gb2312" w:cs="方正仿宋_gb2312" w:eastAsia="方正仿宋_gb2312"/>
                      <w:sz w:val="24"/>
                    </w:rPr>
                    <w:t>支持在课件播放后，自动开始记录副屏黑板内容，无需手动点击记录，支持将副屏书写轨迹部分选中，选中的内容可以插入到授课课件中，结合课件和板书一起讲解，板书电子化支持手动存储，支持自动存储，支持记录左右两侧内容，生成图片并保存，保存路径支持本地保存以及云空间保存，板书图片可通过二维码分享，手机扫码二维码即可在手机端获取图片。（签订合同时需提供具有CMA认证的第三方检测报告复印件并加盖供应商公章）</w:t>
                  </w:r>
                </w:p>
                <w:p>
                  <w:pPr>
                    <w:pStyle w:val="null3"/>
                    <w:jc w:val="both"/>
                  </w:pPr>
                  <w:r>
                    <w:rPr>
                      <w:rFonts w:ascii="calibri, sans-serif" w:hAnsi="calibri, sans-serif" w:cs="calibri, sans-serif" w:eastAsia="calibri, sans-serif"/>
                      <w:b/>
                      <w:sz w:val="24"/>
                    </w:rPr>
                    <w:t>2.★</w:t>
                  </w:r>
                  <w:r>
                    <w:rPr>
                      <w:rFonts w:ascii="方正仿宋_gb2312" w:hAnsi="方正仿宋_gb2312" w:cs="方正仿宋_gb2312" w:eastAsia="方正仿宋_gb2312"/>
                      <w:sz w:val="24"/>
                    </w:rPr>
                    <w:t>支持纸质护眼模式，可实现画面纹理的实时调整，支持牛皮纸、素描纸、宣纸、水纹纸等纸质纹理，支持透明度调节，支持色温调节。</w:t>
                  </w:r>
                </w:p>
                <w:p>
                  <w:pPr>
                    <w:pStyle w:val="null3"/>
                    <w:jc w:val="both"/>
                  </w:pPr>
                  <w:r>
                    <w:rPr>
                      <w:rFonts w:ascii="方正仿宋_gb2312" w:hAnsi="方正仿宋_gb2312" w:cs="方正仿宋_gb2312" w:eastAsia="方正仿宋_gb2312"/>
                      <w:sz w:val="24"/>
                    </w:rPr>
                    <w:t>3.支持智能U盘锁功能，可设置触摸及按键锁定，锁定后无法随意自由操作，需要使用时插入USB key可解锁。</w:t>
                  </w:r>
                </w:p>
                <w:p>
                  <w:pPr>
                    <w:pStyle w:val="null3"/>
                    <w:jc w:val="both"/>
                  </w:pPr>
                  <w:r>
                    <w:rPr>
                      <w:rFonts w:ascii="calibri, sans-serif" w:hAnsi="calibri, sans-serif" w:cs="calibri, sans-serif" w:eastAsia="calibri, sans-serif"/>
                      <w:b/>
                      <w:sz w:val="24"/>
                    </w:rPr>
                    <w:t>4.★</w:t>
                  </w:r>
                  <w:r>
                    <w:rPr>
                      <w:rFonts w:ascii="方正仿宋_gb2312" w:hAnsi="方正仿宋_gb2312" w:cs="方正仿宋_gb2312" w:eastAsia="方正仿宋_gb2312"/>
                      <w:sz w:val="24"/>
                    </w:rPr>
                    <w:t>支持发出超声波信号，手机麦克风接收后无需在同一局域网内，可实现配对，一键投屏，无需手动输入投屏码或扫码。（签订合同时需提供具有CMA认证的第三方检测报告复印件并加盖供应商公章）</w:t>
                  </w:r>
                </w:p>
                <w:p>
                  <w:pPr>
                    <w:pStyle w:val="null3"/>
                    <w:jc w:val="both"/>
                  </w:pPr>
                  <w:r>
                    <w:rPr>
                      <w:rFonts w:ascii="方正仿宋_gb2312" w:hAnsi="方正仿宋_gb2312" w:cs="方正仿宋_gb2312" w:eastAsia="方正仿宋_gb2312"/>
                      <w:sz w:val="24"/>
                    </w:rPr>
                    <w:t>5.内置专业硬件自检维护工具（非第三方工具），支持对整机内部的板卡及部件模块进行故障检测、系统还原功能。</w:t>
                  </w:r>
                </w:p>
                <w:p>
                  <w:pPr>
                    <w:pStyle w:val="null3"/>
                    <w:jc w:val="both"/>
                  </w:pPr>
                  <w:r>
                    <w:rPr>
                      <w:rFonts w:ascii="方正仿宋_gb2312" w:hAnsi="方正仿宋_gb2312" w:cs="方正仿宋_gb2312" w:eastAsia="方正仿宋_gb2312"/>
                      <w:sz w:val="24"/>
                    </w:rPr>
                    <w:t>6.支持将设备屏幕降低为半屏幕状态，点击上半屏幕可以返回全屏状态。</w:t>
                  </w:r>
                </w:p>
                <w:p>
                  <w:pPr>
                    <w:pStyle w:val="null3"/>
                    <w:jc w:val="both"/>
                  </w:pPr>
                  <w:r>
                    <w:rPr>
                      <w:rFonts w:ascii="方正仿宋_gb2312" w:hAnsi="方正仿宋_gb2312" w:cs="方正仿宋_gb2312" w:eastAsia="方正仿宋_gb2312"/>
                      <w:sz w:val="24"/>
                    </w:rPr>
                    <w:t>7.支持USB连接视频展台后，一键打开/关闭展台软件，在任意通道下均可实时查看视频展台连接状态，当连接/断开连接时，提供实时反馈提示，支持读取视频展台设备型号，对应显示设备实物图片。</w:t>
                  </w:r>
                </w:p>
                <w:p>
                  <w:pPr>
                    <w:pStyle w:val="null3"/>
                    <w:jc w:val="both"/>
                  </w:pPr>
                  <w:r>
                    <w:rPr>
                      <w:rFonts w:ascii="方正仿宋_gb2312" w:hAnsi="方正仿宋_gb2312" w:cs="方正仿宋_gb2312" w:eastAsia="方正仿宋_gb2312"/>
                      <w:sz w:val="24"/>
                    </w:rPr>
                    <w:t>8.支持将自定义图片、动画设置为开机画面。</w:t>
                  </w:r>
                </w:p>
                <w:p>
                  <w:pPr>
                    <w:pStyle w:val="null3"/>
                    <w:jc w:val="both"/>
                  </w:pPr>
                  <w:r>
                    <w:rPr>
                      <w:rFonts w:ascii="calibri, sans-serif" w:hAnsi="calibri, sans-serif" w:cs="calibri, sans-serif" w:eastAsia="calibri, sans-serif"/>
                      <w:b/>
                      <w:sz w:val="24"/>
                    </w:rPr>
                    <w:t>9.★</w:t>
                  </w:r>
                  <w:r>
                    <w:rPr>
                      <w:rFonts w:ascii="方正仿宋_gb2312" w:hAnsi="方正仿宋_gb2312" w:cs="方正仿宋_gb2312" w:eastAsia="方正仿宋_gb2312"/>
                      <w:sz w:val="24"/>
                    </w:rPr>
                    <w:t>具有≥14个前置按键，支持开关机、中控、音量、护眼、录屏、保存、笔切换、启动板书等，左右副屏按键具有≥2个自定义按键，可自定义为翻页、保存、分享、笔切换等，具有板书悬浮窗并支持保存、设置、收起、登录等。（签订合同时需提供具有CMA认证的第三方检测报告复印件并加盖供应商公章）</w:t>
                  </w:r>
                </w:p>
                <w:p>
                  <w:pPr>
                    <w:pStyle w:val="null3"/>
                    <w:jc w:val="both"/>
                  </w:pPr>
                  <w:r>
                    <w:rPr>
                      <w:rFonts w:ascii="方正仿宋_gb2312" w:hAnsi="方正仿宋_gb2312" w:cs="方正仿宋_gb2312" w:eastAsia="方正仿宋_gb2312"/>
                      <w:sz w:val="24"/>
                    </w:rPr>
                    <w:t>具备供电保护模块，能够检测内置电脑是否插好在位，在内置电脑未在位的情况下，内置电脑无法上电工作。</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center"/>
                  </w:pPr>
                  <w:r>
                    <w:rPr>
                      <w:rFonts w:ascii="方正仿宋_gb2312" w:hAnsi="方正仿宋_gb2312" w:cs="方正仿宋_gb2312" w:eastAsia="方正仿宋_gb2312"/>
                      <w:b/>
                      <w:color w:val="000000"/>
                      <w:sz w:val="28"/>
                      <w:shd w:fill="FFFFFF" w:val="clear"/>
                    </w:rPr>
                    <w:t>11</w:t>
                  </w:r>
                  <w:r>
                    <w:rPr>
                      <w:rFonts w:ascii="方正仿宋_gb2312" w:hAnsi="方正仿宋_gb2312" w:cs="方正仿宋_gb2312" w:eastAsia="方正仿宋_gb2312"/>
                      <w:b/>
                      <w:color w:val="000000"/>
                      <w:sz w:val="28"/>
                      <w:shd w:fill="FFFFFF" w:val="clear"/>
                    </w:rPr>
                    <w:t>套</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方正仿宋_gb2312" w:hAnsi="方正仿宋_gb2312" w:cs="方正仿宋_gb2312" w:eastAsia="方正仿宋_gb2312"/>
                      <w:b/>
                      <w:color w:val="000000"/>
                      <w:sz w:val="24"/>
                      <w:shd w:fill="FFFFFF" w:val="clear"/>
                    </w:rPr>
                    <w:t>核心产品</w:t>
                  </w:r>
                </w:p>
              </w:tc>
            </w:tr>
            <w:tr>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20"/>
                    <w:jc w:val="center"/>
                  </w:pPr>
                  <w:r>
                    <w:rPr>
                      <w:rFonts w:ascii="方正仿宋_gb2312" w:hAnsi="方正仿宋_gb2312" w:cs="方正仿宋_gb2312" w:eastAsia="方正仿宋_gb2312"/>
                      <w:color w:val="000000"/>
                      <w:sz w:val="24"/>
                      <w:shd w:fill="FFFFFF" w:val="clear"/>
                    </w:rPr>
                    <w:t>2</w:t>
                  </w:r>
                </w:p>
              </w:tc>
              <w:tc>
                <w:tcPr>
                  <w:tcW w:type="dxa" w:w="7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方正仿宋_gb2312" w:hAnsi="方正仿宋_gb2312" w:cs="方正仿宋_gb2312" w:eastAsia="方正仿宋_gb2312"/>
                      <w:b/>
                      <w:color w:val="000000"/>
                      <w:sz w:val="24"/>
                      <w:shd w:fill="FFFFFF" w:val="clear"/>
                    </w:rPr>
                    <w:t>教学软件</w:t>
                  </w:r>
                </w:p>
              </w:tc>
              <w:tc>
                <w:tcPr>
                  <w:tcW w:type="dxa" w:w="1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方正仿宋_gb2312" w:hAnsi="方正仿宋_gb2312" w:cs="方正仿宋_gb2312" w:eastAsia="方正仿宋_gb2312"/>
                      <w:sz w:val="24"/>
                    </w:rPr>
                    <w:t>（一）、整体要求</w:t>
                  </w:r>
                </w:p>
                <w:p>
                  <w:pPr>
                    <w:pStyle w:val="null3"/>
                    <w:jc w:val="both"/>
                  </w:pPr>
                  <w:r>
                    <w:rPr>
                      <w:rFonts w:ascii="方正仿宋_gb2312" w:hAnsi="方正仿宋_gb2312" w:cs="方正仿宋_gb2312" w:eastAsia="方正仿宋_gb2312"/>
                      <w:sz w:val="24"/>
                    </w:rPr>
                    <w:t>1.为使用教师提供个人账号和云空间（可拓展至100TB容量），可根据教师账号将教师匹配至对应学校，云空间匹配至校本资源库，支持账号密码、微信二维码、硬件密钥方式登录教师账号。</w:t>
                  </w:r>
                </w:p>
                <w:p>
                  <w:pPr>
                    <w:pStyle w:val="null3"/>
                    <w:jc w:val="both"/>
                  </w:pPr>
                  <w:r>
                    <w:rPr>
                      <w:rFonts w:ascii="方正仿宋_gb2312" w:hAnsi="方正仿宋_gb2312" w:cs="方正仿宋_gb2312" w:eastAsia="方正仿宋_gb2312"/>
                      <w:sz w:val="24"/>
                    </w:rPr>
                    <w:t>2.云空间支持上传文档、图片、音视频，并支持文件夹分级分层。</w:t>
                  </w:r>
                </w:p>
                <w:p>
                  <w:pPr>
                    <w:pStyle w:val="null3"/>
                    <w:jc w:val="both"/>
                  </w:pPr>
                  <w:r>
                    <w:rPr>
                      <w:rFonts w:ascii="方正仿宋_gb2312" w:hAnsi="方正仿宋_gb2312" w:cs="方正仿宋_gb2312" w:eastAsia="方正仿宋_gb2312"/>
                      <w:sz w:val="24"/>
                    </w:rPr>
                    <w:t>3.互动课件支持云分享，可通过链接或二维码形式进行分享，支持进行加密，可设置访问有效期，同时支持定向分享至指定账号。</w:t>
                  </w:r>
                </w:p>
                <w:p>
                  <w:pPr>
                    <w:pStyle w:val="null3"/>
                    <w:jc w:val="both"/>
                  </w:pPr>
                  <w:r>
                    <w:rPr>
                      <w:rFonts w:ascii="方正仿宋_gb2312" w:hAnsi="方正仿宋_gb2312" w:cs="方正仿宋_gb2312" w:eastAsia="方正仿宋_gb2312"/>
                      <w:sz w:val="24"/>
                    </w:rPr>
                    <w:t>4.支持PPT课件和互动课件相互转化，可将pptx导入互动教学软件并支持原文件中的文字、图片、表格等对象及动画的可编辑，支持单份导入和批量导入；互动课件可到处为pptx、pdf、H5等格式。</w:t>
                  </w:r>
                </w:p>
                <w:p>
                  <w:pPr>
                    <w:pStyle w:val="null3"/>
                    <w:jc w:val="both"/>
                  </w:pPr>
                  <w:r>
                    <w:rPr>
                      <w:rFonts w:ascii="方正仿宋_gb2312" w:hAnsi="方正仿宋_gb2312" w:cs="方正仿宋_gb2312" w:eastAsia="方正仿宋_gb2312"/>
                      <w:sz w:val="24"/>
                    </w:rPr>
                    <w:t>5.互动教学软件内置胶囊式微课功能，可快速录制微课，支持录制和保存音频及课件的互动功能。</w:t>
                  </w:r>
                </w:p>
                <w:p>
                  <w:pPr>
                    <w:pStyle w:val="null3"/>
                    <w:jc w:val="both"/>
                  </w:pPr>
                  <w:r>
                    <w:rPr>
                      <w:rFonts w:ascii="方正仿宋_gb2312" w:hAnsi="方正仿宋_gb2312" w:cs="方正仿宋_gb2312" w:eastAsia="方正仿宋_gb2312"/>
                      <w:sz w:val="24"/>
                    </w:rPr>
                    <w:t>6.备授课一体化，教师可根据场景自由切换备课模式和授课模式，适用于办公室备课和教师上课，软件支持自动识别场景推荐备授课模式。</w:t>
                  </w:r>
                </w:p>
                <w:p>
                  <w:pPr>
                    <w:pStyle w:val="null3"/>
                    <w:jc w:val="both"/>
                  </w:pPr>
                  <w:r>
                    <w:rPr>
                      <w:rFonts w:ascii="calibri, sans-serif" w:hAnsi="calibri, sans-serif" w:cs="calibri, sans-serif" w:eastAsia="calibri, sans-serif"/>
                      <w:b/>
                      <w:sz w:val="24"/>
                    </w:rPr>
                    <w:t>7.★</w:t>
                  </w:r>
                  <w:r>
                    <w:rPr>
                      <w:rFonts w:ascii="方正仿宋_gb2312" w:hAnsi="方正仿宋_gb2312" w:cs="方正仿宋_gb2312" w:eastAsia="方正仿宋_gb2312"/>
                      <w:sz w:val="24"/>
                    </w:rPr>
                    <w:t>可查看远程接入研讨的成员网络状态，支持共享远程白板或电脑桌面，可调用主讲人云课件库，课件内具有学科工具（包含语文、数学、英语、美术、音乐等学科）和在线视频资源，支持拍照上传、截屏插入、答题器、直播分享等功能，支持开启美颜效果，可调节美颜项目≥6个。（提供软件功能截图）</w:t>
                  </w:r>
                </w:p>
                <w:p>
                  <w:pPr>
                    <w:pStyle w:val="null3"/>
                    <w:jc w:val="both"/>
                  </w:pPr>
                  <w:r>
                    <w:rPr>
                      <w:rFonts w:ascii="方正仿宋_gb2312" w:hAnsi="方正仿宋_gb2312" w:cs="方正仿宋_gb2312" w:eastAsia="方正仿宋_gb2312"/>
                      <w:sz w:val="24"/>
                    </w:rPr>
                    <w:t>（二）、教学资源</w:t>
                  </w:r>
                </w:p>
                <w:p>
                  <w:pPr>
                    <w:pStyle w:val="null3"/>
                    <w:jc w:val="both"/>
                  </w:pPr>
                  <w:r>
                    <w:rPr>
                      <w:rFonts w:ascii="calibri, sans-serif" w:hAnsi="calibri, sans-serif" w:cs="calibri, sans-serif" w:eastAsia="calibri, sans-serif"/>
                      <w:b/>
                      <w:sz w:val="24"/>
                    </w:rPr>
                    <w:t>1.★</w:t>
                  </w:r>
                  <w:r>
                    <w:rPr>
                      <w:rFonts w:ascii="方正仿宋_gb2312" w:hAnsi="方正仿宋_gb2312" w:cs="方正仿宋_gb2312" w:eastAsia="方正仿宋_gb2312"/>
                      <w:sz w:val="24"/>
                    </w:rPr>
                    <w:t>提供互动教学课件：教材版本≥120个，课件数量≥15万份，可按章节、主题、关键词搜索，支持模糊搜索，课件支持预览和下载。</w:t>
                  </w:r>
                </w:p>
                <w:p>
                  <w:pPr>
                    <w:pStyle w:val="null3"/>
                    <w:jc w:val="both"/>
                  </w:pPr>
                  <w:r>
                    <w:rPr>
                      <w:rFonts w:ascii="方正仿宋_gb2312" w:hAnsi="方正仿宋_gb2312" w:cs="方正仿宋_gb2312" w:eastAsia="方正仿宋_gb2312"/>
                      <w:sz w:val="24"/>
                    </w:rPr>
                    <w:t>2.内置简约、科技、古风等不同类型主题模板可用，支持教师自定义课件背景。</w:t>
                  </w:r>
                </w:p>
                <w:p>
                  <w:pPr>
                    <w:pStyle w:val="null3"/>
                    <w:jc w:val="both"/>
                  </w:pPr>
                  <w:r>
                    <w:rPr>
                      <w:rFonts w:ascii="方正仿宋_gb2312" w:hAnsi="方正仿宋_gb2312" w:cs="方正仿宋_gb2312" w:eastAsia="方正仿宋_gb2312"/>
                      <w:sz w:val="24"/>
                    </w:rPr>
                    <w:t>3.语文提供古诗词、汉字、拼音等教学资源和工具：古诗词包括原文、翻译、作者介绍及朗诵音频等内容；汉字支持田字格手写，可展示汉字部首、读音、笔画顺序、笔画数等内容；拼音支持四线三格自由输入，可选择声调和点读。</w:t>
                  </w:r>
                </w:p>
                <w:p>
                  <w:pPr>
                    <w:pStyle w:val="null3"/>
                    <w:jc w:val="both"/>
                  </w:pPr>
                  <w:r>
                    <w:rPr>
                      <w:rFonts w:ascii="方正仿宋_gb2312" w:hAnsi="方正仿宋_gb2312" w:cs="方正仿宋_gb2312" w:eastAsia="方正仿宋_gb2312"/>
                      <w:sz w:val="24"/>
                    </w:rPr>
                    <w:t>4.数学提供函数公式、函数图像、几何工具等资源和工具：函数公式可输入方程组，提供常用数学公式；函数图像支持一次函数、二次函数、幂函数、指数函数、三角函数等图像，支持自定义输入函数表达式生成图像，可同时绘制多个函数表达式；几何工具可绘制平面几何和立体几何，支持选色涂色功能。</w:t>
                  </w:r>
                </w:p>
                <w:p>
                  <w:pPr>
                    <w:pStyle w:val="null3"/>
                    <w:jc w:val="both"/>
                  </w:pPr>
                  <w:r>
                    <w:rPr>
                      <w:rFonts w:ascii="方正仿宋_gb2312" w:hAnsi="方正仿宋_gb2312" w:cs="方正仿宋_gb2312" w:eastAsia="方正仿宋_gb2312"/>
                      <w:sz w:val="24"/>
                    </w:rPr>
                    <w:t>5.英语提供字典、音标、听写等资源和工具：字典提供释义、读音、词组、例句等内容；音标可发音，支持将字母、单词、句子转写为音标。</w:t>
                  </w:r>
                </w:p>
                <w:p>
                  <w:pPr>
                    <w:pStyle w:val="null3"/>
                    <w:jc w:val="both"/>
                  </w:pPr>
                  <w:r>
                    <w:rPr>
                      <w:rFonts w:ascii="方正仿宋_gb2312" w:hAnsi="方正仿宋_gb2312" w:cs="方正仿宋_gb2312" w:eastAsia="方正仿宋_gb2312"/>
                      <w:sz w:val="24"/>
                    </w:rPr>
                    <w:t>6.具有党建微课视频≥100节，包括革命篇、建设篇、改革篇、复兴篇，可在线点播或下载至课件播放，支持一键对视频截图插入课件。</w:t>
                  </w:r>
                </w:p>
                <w:p>
                  <w:pPr>
                    <w:pStyle w:val="null3"/>
                    <w:jc w:val="both"/>
                  </w:pPr>
                  <w:r>
                    <w:rPr>
                      <w:rFonts w:ascii="方正仿宋_gb2312" w:hAnsi="方正仿宋_gb2312" w:cs="方正仿宋_gb2312" w:eastAsia="方正仿宋_gb2312"/>
                      <w:sz w:val="24"/>
                    </w:rPr>
                    <w:t>（三）、备授课工具</w:t>
                  </w:r>
                </w:p>
                <w:p>
                  <w:pPr>
                    <w:pStyle w:val="null3"/>
                    <w:jc w:val="both"/>
                  </w:pPr>
                  <w:r>
                    <w:rPr>
                      <w:rFonts w:ascii="方正仿宋_gb2312" w:hAnsi="方正仿宋_gb2312" w:cs="方正仿宋_gb2312" w:eastAsia="方正仿宋_gb2312"/>
                      <w:sz w:val="24"/>
                    </w:rPr>
                    <w:t>1.文本：可插入文本框，支持设置字体、字号、颜色、加粗、倾斜、下划线、上下角标等，支持段落样式设置对齐、缩进、行高等，提供艺术字效果。</w:t>
                  </w:r>
                </w:p>
                <w:p>
                  <w:pPr>
                    <w:pStyle w:val="null3"/>
                    <w:jc w:val="both"/>
                  </w:pPr>
                  <w:r>
                    <w:rPr>
                      <w:rFonts w:ascii="方正仿宋_gb2312" w:hAnsi="方正仿宋_gb2312" w:cs="方正仿宋_gb2312" w:eastAsia="方正仿宋_gb2312"/>
                      <w:sz w:val="24"/>
                    </w:rPr>
                    <w:t>2.图片：内置图片处理功能，可对课件内的图片进行快速抠图，处理后边缘无明显毛边，处理后的图片可直接上传至教师云空间供后续复用。</w:t>
                  </w:r>
                </w:p>
                <w:p>
                  <w:pPr>
                    <w:pStyle w:val="null3"/>
                    <w:jc w:val="both"/>
                  </w:pPr>
                  <w:r>
                    <w:rPr>
                      <w:rFonts w:ascii="方正仿宋_gb2312" w:hAnsi="方正仿宋_gb2312" w:cs="方正仿宋_gb2312" w:eastAsia="方正仿宋_gb2312"/>
                      <w:sz w:val="24"/>
                    </w:rPr>
                    <w:t>3.蒙层：可一键将课件内文本、图片、形状等对象添加蒙层隐藏效果，授课模式下可通过擦除蒙层展现隐藏内容。</w:t>
                  </w:r>
                </w:p>
                <w:p>
                  <w:pPr>
                    <w:pStyle w:val="null3"/>
                    <w:jc w:val="both"/>
                  </w:pPr>
                  <w:r>
                    <w:rPr>
                      <w:rFonts w:ascii="方正仿宋_gb2312" w:hAnsi="方正仿宋_gb2312" w:cs="方正仿宋_gb2312" w:eastAsia="方正仿宋_gb2312"/>
                      <w:sz w:val="24"/>
                    </w:rPr>
                    <w:t>4.备注：提供页面备注功能，可一键展开/隐藏备注.</w:t>
                  </w:r>
                </w:p>
                <w:p>
                  <w:pPr>
                    <w:pStyle w:val="null3"/>
                    <w:jc w:val="both"/>
                  </w:pPr>
                  <w:r>
                    <w:rPr>
                      <w:rFonts w:ascii="方正仿宋_gb2312" w:hAnsi="方正仿宋_gb2312" w:cs="方正仿宋_gb2312" w:eastAsia="方正仿宋_gb2312"/>
                      <w:sz w:val="24"/>
                    </w:rPr>
                    <w:t>5.动画：支持文本、形状、图片等内容的触发动画，可对动画的设置触发条件、动画声效、动画时长、动画延迟和动画方向进行自定义设置。</w:t>
                  </w:r>
                </w:p>
                <w:p>
                  <w:pPr>
                    <w:pStyle w:val="null3"/>
                    <w:jc w:val="both"/>
                  </w:pPr>
                  <w:r>
                    <w:rPr>
                      <w:rFonts w:ascii="方正仿宋_gb2312" w:hAnsi="方正仿宋_gb2312" w:cs="方正仿宋_gb2312" w:eastAsia="方正仿宋_gb2312"/>
                      <w:sz w:val="24"/>
                    </w:rPr>
                    <w:t>6.表格：可自由插入表格，支持边框、底纹设置，可自由合并单元格。</w:t>
                  </w:r>
                </w:p>
                <w:p>
                  <w:pPr>
                    <w:pStyle w:val="null3"/>
                    <w:jc w:val="both"/>
                  </w:pPr>
                  <w:r>
                    <w:rPr>
                      <w:rFonts w:ascii="方正仿宋_gb2312" w:hAnsi="方正仿宋_gb2312" w:cs="方正仿宋_gb2312" w:eastAsia="方正仿宋_gb2312"/>
                      <w:sz w:val="24"/>
                    </w:rPr>
                    <w:t>7.思维导图：提供预设模板，可自由增删或拖拽编辑节点，并支持在节点上插入图片、音频、视频、网页链接、课件页面等内容，便于建构知识结构。</w:t>
                  </w:r>
                </w:p>
                <w:p>
                  <w:pPr>
                    <w:pStyle w:val="null3"/>
                    <w:jc w:val="both"/>
                  </w:pPr>
                  <w:r>
                    <w:rPr>
                      <w:rFonts w:ascii="方正仿宋_gb2312" w:hAnsi="方正仿宋_gb2312" w:cs="方正仿宋_gb2312" w:eastAsia="方正仿宋_gb2312"/>
                      <w:sz w:val="24"/>
                    </w:rPr>
                    <w:t>8.图表：提供柱状图、扇形图、折线图等图表，支持图表文字、背景、透明度设置，柱状图、折线图可一键转置互换坐标轴类别，支持三维模式旋转展示。</w:t>
                  </w:r>
                </w:p>
                <w:p>
                  <w:pPr>
                    <w:pStyle w:val="null3"/>
                    <w:jc w:val="both"/>
                  </w:pPr>
                  <w:r>
                    <w:rPr>
                      <w:rFonts w:ascii="方正仿宋_gb2312" w:hAnsi="方正仿宋_gb2312" w:cs="方正仿宋_gb2312" w:eastAsia="方正仿宋_gb2312"/>
                      <w:sz w:val="24"/>
                    </w:rPr>
                    <w:t>（四）、教研模块</w:t>
                  </w:r>
                </w:p>
                <w:p>
                  <w:pPr>
                    <w:pStyle w:val="null3"/>
                    <w:jc w:val="both"/>
                  </w:pPr>
                  <w:r>
                    <w:rPr>
                      <w:rFonts w:ascii="方正仿宋_gb2312" w:hAnsi="方正仿宋_gb2312" w:cs="方正仿宋_gb2312" w:eastAsia="方正仿宋_gb2312"/>
                      <w:sz w:val="24"/>
                    </w:rPr>
                    <w:t>1.具有校本资源库，资源包括课件、教案、习题、音视频多媒体文件等内容，支持进行上传、搜索、下载、查看、预览等功能。</w:t>
                  </w:r>
                </w:p>
                <w:p>
                  <w:pPr>
                    <w:pStyle w:val="null3"/>
                    <w:jc w:val="both"/>
                  </w:pPr>
                  <w:r>
                    <w:rPr>
                      <w:rFonts w:ascii="方正仿宋_gb2312" w:hAnsi="方正仿宋_gb2312" w:cs="方正仿宋_gb2312" w:eastAsia="方正仿宋_gb2312"/>
                      <w:sz w:val="24"/>
                    </w:rPr>
                    <w:t>2.支持电子听评课，可发起授课评价，查看评课记录，导出评课报告和听课记录，支持通过直播听评课和AI课堂数据分析。</w:t>
                  </w:r>
                </w:p>
                <w:p>
                  <w:pPr>
                    <w:pStyle w:val="null3"/>
                    <w:jc w:val="both"/>
                  </w:pPr>
                  <w:r>
                    <w:rPr>
                      <w:rFonts w:ascii="方正仿宋_gb2312" w:hAnsi="方正仿宋_gb2312" w:cs="方正仿宋_gb2312" w:eastAsia="方正仿宋_gb2312"/>
                      <w:sz w:val="24"/>
                    </w:rPr>
                    <w:t>3.支持在手机和PC端选择教案、课件、胶囊资源上传发起集备研讨，支持多重访问权限，通过手机号搜索即可邀请外校老师。</w:t>
                  </w:r>
                </w:p>
                <w:p>
                  <w:pPr>
                    <w:pStyle w:val="null3"/>
                    <w:jc w:val="both"/>
                  </w:pPr>
                  <w:r>
                    <w:rPr>
                      <w:rFonts w:ascii="方正仿宋_gb2312" w:hAnsi="方正仿宋_gb2312" w:cs="方正仿宋_gb2312" w:eastAsia="方正仿宋_gb2312"/>
                      <w:sz w:val="24"/>
                    </w:rPr>
                    <w:t>4.参备老师可在线对教案进行随文式批注，追加批注，回复以及查看实时批注消息，可对集备中的多稿课件、教案、胶囊进行内容横向对比。</w:t>
                  </w:r>
                </w:p>
                <w:p>
                  <w:pPr>
                    <w:pStyle w:val="null3"/>
                    <w:jc w:val="both"/>
                  </w:pPr>
                  <w:r>
                    <w:rPr>
                      <w:rFonts w:ascii="方正仿宋_gb2312" w:hAnsi="方正仿宋_gb2312" w:cs="方正仿宋_gb2312" w:eastAsia="方正仿宋_gb2312"/>
                      <w:sz w:val="24"/>
                    </w:rPr>
                    <w:t>支持创建教研组，添加备课组成员，可实现备课资源共享，搜索、获取备课资源，参与研讨和回顾集体备课研讨内容。</w:t>
                  </w:r>
                </w:p>
                <w:p>
                  <w:pPr>
                    <w:pStyle w:val="null3"/>
                    <w:jc w:val="both"/>
                  </w:pPr>
                  <w:r>
                    <w:rPr>
                      <w:rFonts w:ascii="方正仿宋_gb2312" w:hAnsi="方正仿宋_gb2312" w:cs="方正仿宋_gb2312" w:eastAsia="方正仿宋_gb2312"/>
                      <w:sz w:val="24"/>
                    </w:rPr>
                    <w:t>5.</w:t>
                  </w:r>
                  <w:r>
                    <w:rPr>
                      <w:rFonts w:ascii="calibri, sans-serif" w:hAnsi="calibri, sans-serif" w:cs="calibri, sans-serif" w:eastAsia="calibri, sans-serif"/>
                      <w:b/>
                      <w:sz w:val="24"/>
                    </w:rPr>
                    <w:t>★</w:t>
                  </w:r>
                  <w:r>
                    <w:rPr>
                      <w:rFonts w:ascii="方正仿宋_gb2312" w:hAnsi="方正仿宋_gb2312" w:cs="方正仿宋_gb2312" w:eastAsia="方正仿宋_gb2312"/>
                      <w:sz w:val="24"/>
                    </w:rPr>
                    <w:t>支持共享远程白板或电脑桌面，可调用主讲人云课件库，课件内具有学科工具（包含语文、数学、英语、美术、音乐等学科）和在线视频资源，支持拍照上传、截屏插入、答题器、直播分享等功能，支持开启美颜效果，可调节美颜项目≥6个。（提供软件功能截图）</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center"/>
                  </w:pPr>
                  <w:r>
                    <w:rPr>
                      <w:rFonts w:ascii="方正仿宋_gb2312" w:hAnsi="方正仿宋_gb2312" w:cs="方正仿宋_gb2312" w:eastAsia="方正仿宋_gb2312"/>
                      <w:b/>
                      <w:color w:val="000000"/>
                      <w:sz w:val="28"/>
                      <w:shd w:fill="FFFFFF" w:val="clear"/>
                    </w:rPr>
                    <w:t>11</w:t>
                  </w:r>
                  <w:r>
                    <w:rPr>
                      <w:rFonts w:ascii="方正仿宋_gb2312" w:hAnsi="方正仿宋_gb2312" w:cs="方正仿宋_gb2312" w:eastAsia="方正仿宋_gb2312"/>
                      <w:b/>
                      <w:color w:val="000000"/>
                      <w:sz w:val="28"/>
                      <w:shd w:fill="FFFFFF" w:val="clear"/>
                    </w:rPr>
                    <w:t>套</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center"/>
                  </w:pPr>
                </w:p>
              </w:tc>
            </w:tr>
            <w:tr>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方正仿宋_gb2312" w:hAnsi="方正仿宋_gb2312" w:cs="方正仿宋_gb2312" w:eastAsia="方正仿宋_gb2312"/>
                      <w:color w:val="000000"/>
                      <w:sz w:val="24"/>
                      <w:shd w:fill="FFFFFF" w:val="clear"/>
                    </w:rPr>
                    <w:t>3</w:t>
                  </w:r>
                </w:p>
              </w:tc>
              <w:tc>
                <w:tcPr>
                  <w:tcW w:type="dxa" w:w="7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方正仿宋_gb2312" w:hAnsi="方正仿宋_gb2312" w:cs="方正仿宋_gb2312" w:eastAsia="方正仿宋_gb2312"/>
                      <w:b/>
                      <w:sz w:val="24"/>
                    </w:rPr>
                    <w:t>集中控制管理系统</w:t>
                  </w:r>
                </w:p>
              </w:tc>
              <w:tc>
                <w:tcPr>
                  <w:tcW w:type="dxa" w:w="1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方正仿宋_gb2312" w:hAnsi="方正仿宋_gb2312" w:cs="方正仿宋_gb2312" w:eastAsia="方正仿宋_gb2312"/>
                      <w:sz w:val="24"/>
                    </w:rPr>
                    <w:t>（一）、整体设计</w:t>
                  </w:r>
                </w:p>
                <w:p>
                  <w:pPr>
                    <w:pStyle w:val="null3"/>
                    <w:jc w:val="both"/>
                  </w:pPr>
                  <w:r>
                    <w:rPr>
                      <w:rFonts w:ascii="方正仿宋_gb2312" w:hAnsi="方正仿宋_gb2312" w:cs="方正仿宋_gb2312" w:eastAsia="方正仿宋_gb2312"/>
                      <w:sz w:val="24"/>
                    </w:rPr>
                    <w:t>1.后台控制端采用B/S架构设计，可在Windows、Linux、Android、IOS等多种不同的操作系统上通过网页浏览器登陆进行操作，可控制在局域网或互联网内的班班通终端设备。</w:t>
                  </w:r>
                </w:p>
                <w:p>
                  <w:pPr>
                    <w:pStyle w:val="null3"/>
                    <w:jc w:val="both"/>
                  </w:pPr>
                  <w:r>
                    <w:rPr>
                      <w:rFonts w:ascii="calibri, sans-serif" w:hAnsi="calibri, sans-serif" w:cs="calibri, sans-serif" w:eastAsia="calibri, sans-serif"/>
                      <w:b/>
                      <w:sz w:val="24"/>
                    </w:rPr>
                    <w:t>2.★</w:t>
                  </w:r>
                  <w:r>
                    <w:rPr>
                      <w:rFonts w:ascii="方正仿宋_gb2312" w:hAnsi="方正仿宋_gb2312" w:cs="方正仿宋_gb2312" w:eastAsia="方正仿宋_gb2312"/>
                      <w:sz w:val="24"/>
                    </w:rPr>
                    <w:t>使用校园集控系统的每个学校/区域拥有专属代码，该学校/区域的一体机设备只需接入互联网，并在受控端输入该代码进行连接，管理员即可在后台对设备进行远程管理。</w:t>
                  </w:r>
                </w:p>
                <w:p>
                  <w:pPr>
                    <w:pStyle w:val="null3"/>
                    <w:jc w:val="both"/>
                  </w:pPr>
                  <w:r>
                    <w:rPr>
                      <w:rFonts w:ascii="方正仿宋_gb2312" w:hAnsi="方正仿宋_gb2312" w:cs="方正仿宋_gb2312" w:eastAsia="方正仿宋_gb2312"/>
                      <w:sz w:val="24"/>
                    </w:rPr>
                    <w:t>3.支持在单台设备关联学校代码后，自动发现并关联同网段下其他设备。</w:t>
                  </w:r>
                </w:p>
                <w:p>
                  <w:pPr>
                    <w:pStyle w:val="null3"/>
                    <w:jc w:val="both"/>
                  </w:pPr>
                  <w:r>
                    <w:rPr>
                      <w:rFonts w:ascii="方正仿宋_gb2312" w:hAnsi="方正仿宋_gb2312" w:cs="方正仿宋_gb2312" w:eastAsia="方正仿宋_gb2312"/>
                      <w:sz w:val="24"/>
                    </w:rPr>
                    <w:t>（二）、管理功能要求</w:t>
                  </w:r>
                </w:p>
                <w:p>
                  <w:pPr>
                    <w:pStyle w:val="null3"/>
                    <w:jc w:val="both"/>
                  </w:pPr>
                  <w:r>
                    <w:rPr>
                      <w:rFonts w:ascii="方正仿宋_gb2312" w:hAnsi="方正仿宋_gb2312" w:cs="方正仿宋_gb2312" w:eastAsia="方正仿宋_gb2312"/>
                      <w:sz w:val="24"/>
                    </w:rPr>
                    <w:t>1.基本信息：可在设备桌面查看班班通设备尺寸、分辨率、系统、CPU、安卓版本等信息，支持按照设备安装的年级、班级，设置教室受控端的名称，方便管理员对应管理。</w:t>
                  </w:r>
                </w:p>
                <w:p>
                  <w:pPr>
                    <w:pStyle w:val="null3"/>
                    <w:jc w:val="both"/>
                  </w:pPr>
                  <w:r>
                    <w:rPr>
                      <w:rFonts w:ascii="calibri, sans-serif" w:hAnsi="calibri, sans-serif" w:cs="calibri, sans-serif" w:eastAsia="calibri, sans-serif"/>
                      <w:b/>
                      <w:sz w:val="24"/>
                    </w:rPr>
                    <w:t>2.★</w:t>
                  </w:r>
                  <w:r>
                    <w:rPr>
                      <w:rFonts w:ascii="方正仿宋_gb2312" w:hAnsi="方正仿宋_gb2312" w:cs="方正仿宋_gb2312" w:eastAsia="方正仿宋_gb2312"/>
                      <w:sz w:val="24"/>
                    </w:rPr>
                    <w:t>远程监控：在控制端网页可实时监控已连接的设备，可远程查看开关机状态、使用状态评估、整机温度、以及系统内存、硬盘空间等设备信息。</w:t>
                  </w:r>
                </w:p>
                <w:p>
                  <w:pPr>
                    <w:pStyle w:val="null3"/>
                    <w:jc w:val="both"/>
                  </w:pPr>
                  <w:r>
                    <w:rPr>
                      <w:rFonts w:ascii="calibri, sans-serif" w:hAnsi="calibri, sans-serif" w:cs="calibri, sans-serif" w:eastAsia="calibri, sans-serif"/>
                      <w:b/>
                      <w:sz w:val="24"/>
                    </w:rPr>
                    <w:t>3.★</w:t>
                  </w:r>
                  <w:r>
                    <w:rPr>
                      <w:rFonts w:ascii="方正仿宋_gb2312" w:hAnsi="方正仿宋_gb2312" w:cs="方正仿宋_gb2312" w:eastAsia="方正仿宋_gb2312"/>
                      <w:sz w:val="24"/>
                    </w:rPr>
                    <w:t>远程控制：在控制端网页可对已连接的设备进行实时控制，包括开关机、切换通道、更改图像及声音模式、定时段锁屏等功能。</w:t>
                  </w:r>
                </w:p>
                <w:p>
                  <w:pPr>
                    <w:pStyle w:val="null3"/>
                    <w:jc w:val="both"/>
                  </w:pPr>
                  <w:r>
                    <w:rPr>
                      <w:rFonts w:ascii="方正仿宋_gb2312" w:hAnsi="方正仿宋_gb2312" w:cs="方正仿宋_gb2312" w:eastAsia="方正仿宋_gb2312"/>
                      <w:sz w:val="24"/>
                    </w:rPr>
                    <w:t>4.文件传输：支持远程向已冻结设备发送指令、安装软件、传输大文件，设备接收到后会立即执行，设备正常关机时触发穿透动作，完成后设备即可永久使用已安装软件、已传输文件、执行已接收指令，穿透过程无需人为解冻。</w:t>
                  </w:r>
                </w:p>
                <w:p>
                  <w:pPr>
                    <w:pStyle w:val="null3"/>
                    <w:jc w:val="both"/>
                  </w:pPr>
                  <w:r>
                    <w:rPr>
                      <w:rFonts w:ascii="方正仿宋_gb2312" w:hAnsi="方正仿宋_gb2312" w:cs="方正仿宋_gb2312" w:eastAsia="方正仿宋_gb2312"/>
                      <w:sz w:val="24"/>
                    </w:rPr>
                    <w:t>5.并行管理：支持实时展示不少于20台设备运行画面，可切换画面模式/列表模式。</w:t>
                  </w:r>
                </w:p>
                <w:p>
                  <w:pPr>
                    <w:pStyle w:val="null3"/>
                    <w:jc w:val="both"/>
                  </w:pPr>
                  <w:r>
                    <w:rPr>
                      <w:rFonts w:ascii="方正仿宋_gb2312" w:hAnsi="方正仿宋_gb2312" w:cs="方正仿宋_gb2312" w:eastAsia="方正仿宋_gb2312"/>
                      <w:sz w:val="24"/>
                    </w:rPr>
                    <w:t>6.信息监测：支持在发送消息通知时，自动监测是否存在敏感/违规文字，信息安全可控。</w:t>
                  </w:r>
                </w:p>
                <w:p>
                  <w:pPr>
                    <w:pStyle w:val="null3"/>
                    <w:jc w:val="both"/>
                  </w:pPr>
                  <w:r>
                    <w:rPr>
                      <w:rFonts w:ascii="方正仿宋_gb2312" w:hAnsi="方正仿宋_gb2312" w:cs="方正仿宋_gb2312" w:eastAsia="方正仿宋_gb2312"/>
                      <w:sz w:val="24"/>
                    </w:rPr>
                    <w:t>7.</w:t>
                  </w:r>
                  <w:r>
                    <w:rPr>
                      <w:rFonts w:ascii="方正仿宋_gb2312" w:hAnsi="方正仿宋_gb2312" w:cs="方正仿宋_gb2312" w:eastAsia="方正仿宋_gb2312"/>
                      <w:sz w:val="24"/>
                    </w:rPr>
                    <w:t>弹窗拦截：支持一键开启不良弹窗AI拦截过滤，实时监测弹出窗口，当有窗口弹出时，自动使用“不良弹窗AI模型”判断，判断为不良弹窗时，自动拦截该窗口。</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center"/>
                  </w:pPr>
                  <w:r>
                    <w:rPr>
                      <w:rFonts w:ascii="方正仿宋_gb2312" w:hAnsi="方正仿宋_gb2312" w:cs="方正仿宋_gb2312" w:eastAsia="方正仿宋_gb2312"/>
                      <w:b/>
                      <w:color w:val="000000"/>
                      <w:sz w:val="28"/>
                      <w:shd w:fill="FFFFFF" w:val="clear"/>
                    </w:rPr>
                    <w:t>11</w:t>
                  </w:r>
                  <w:r>
                    <w:rPr>
                      <w:rFonts w:ascii="方正仿宋_gb2312" w:hAnsi="方正仿宋_gb2312" w:cs="方正仿宋_gb2312" w:eastAsia="方正仿宋_gb2312"/>
                      <w:b/>
                      <w:color w:val="000000"/>
                      <w:sz w:val="28"/>
                      <w:shd w:fill="FFFFFF" w:val="clear"/>
                    </w:rPr>
                    <w:t>套</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center"/>
                  </w:pPr>
                </w:p>
              </w:tc>
            </w:tr>
            <w:tr>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方正仿宋_gb2312" w:hAnsi="方正仿宋_gb2312" w:cs="方正仿宋_gb2312" w:eastAsia="方正仿宋_gb2312"/>
                      <w:color w:val="000000"/>
                      <w:sz w:val="24"/>
                      <w:shd w:fill="FFFFFF" w:val="clear"/>
                    </w:rPr>
                    <w:t>4</w:t>
                  </w:r>
                </w:p>
              </w:tc>
              <w:tc>
                <w:tcPr>
                  <w:tcW w:type="dxa" w:w="7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方正仿宋_gb2312" w:hAnsi="方正仿宋_gb2312" w:cs="方正仿宋_gb2312" w:eastAsia="方正仿宋_gb2312"/>
                      <w:b/>
                      <w:sz w:val="24"/>
                    </w:rPr>
                    <w:t>视频展台</w:t>
                  </w:r>
                </w:p>
              </w:tc>
              <w:tc>
                <w:tcPr>
                  <w:tcW w:type="dxa" w:w="1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方正仿宋_gb2312" w:hAnsi="方正仿宋_gb2312" w:cs="方正仿宋_gb2312" w:eastAsia="方正仿宋_gb2312"/>
                      <w:sz w:val="24"/>
                    </w:rPr>
                    <w:t>1.</w:t>
                  </w:r>
                  <w:r>
                    <w:rPr>
                      <w:rFonts w:ascii="方正仿宋_gb2312" w:hAnsi="方正仿宋_gb2312" w:cs="方正仿宋_gb2312" w:eastAsia="方正仿宋_gb2312"/>
                      <w:sz w:val="24"/>
                    </w:rPr>
                    <w:t>采用≥800万像素摄像头，USB直接供电。</w:t>
                  </w:r>
                </w:p>
                <w:p>
                  <w:pPr>
                    <w:pStyle w:val="null3"/>
                    <w:jc w:val="both"/>
                  </w:pPr>
                  <w:r>
                    <w:rPr>
                      <w:rFonts w:ascii="方正仿宋_gb2312" w:hAnsi="方正仿宋_gb2312" w:cs="方正仿宋_gb2312" w:eastAsia="方正仿宋_gb2312"/>
                      <w:sz w:val="24"/>
                    </w:rPr>
                    <w:t>2.</w:t>
                  </w:r>
                  <w:r>
                    <w:rPr>
                      <w:rFonts w:ascii="方正仿宋_gb2312" w:hAnsi="方正仿宋_gb2312" w:cs="方正仿宋_gb2312" w:eastAsia="方正仿宋_gb2312"/>
                      <w:sz w:val="24"/>
                    </w:rPr>
                    <w:t>采用圆弧式设计，无锐角，托板采用磁吸式结构。</w:t>
                  </w:r>
                </w:p>
                <w:p>
                  <w:pPr>
                    <w:pStyle w:val="null3"/>
                    <w:jc w:val="both"/>
                  </w:pPr>
                  <w:r>
                    <w:rPr>
                      <w:rFonts w:ascii="方正仿宋_gb2312" w:hAnsi="方正仿宋_gb2312" w:cs="方正仿宋_gb2312" w:eastAsia="方正仿宋_gb2312"/>
                      <w:sz w:val="24"/>
                    </w:rPr>
                    <w:t>3.</w:t>
                  </w:r>
                  <w:r>
                    <w:rPr>
                      <w:rFonts w:ascii="方正仿宋_gb2312" w:hAnsi="方正仿宋_gb2312" w:cs="方正仿宋_gb2312" w:eastAsia="方正仿宋_gb2312"/>
                      <w:sz w:val="24"/>
                    </w:rPr>
                    <w:t>展示托板正上方具备LED补光灯。</w:t>
                  </w:r>
                </w:p>
                <w:p>
                  <w:pPr>
                    <w:pStyle w:val="null3"/>
                    <w:jc w:val="both"/>
                  </w:pPr>
                  <w:r>
                    <w:rPr>
                      <w:rFonts w:ascii="方正仿宋_gb2312" w:hAnsi="方正仿宋_gb2312" w:cs="方正仿宋_gb2312" w:eastAsia="方正仿宋_gb2312"/>
                      <w:sz w:val="24"/>
                    </w:rPr>
                    <w:t>4.</w:t>
                  </w:r>
                  <w:r>
                    <w:rPr>
                      <w:rFonts w:ascii="方正仿宋_gb2312" w:hAnsi="方正仿宋_gb2312" w:cs="方正仿宋_gb2312" w:eastAsia="方正仿宋_gb2312"/>
                      <w:sz w:val="24"/>
                    </w:rPr>
                    <w:t>摄像头防护等级达到IP4X级别。</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center"/>
                  </w:pPr>
                  <w:r>
                    <w:rPr>
                      <w:rFonts w:ascii="方正仿宋_gb2312" w:hAnsi="方正仿宋_gb2312" w:cs="方正仿宋_gb2312" w:eastAsia="方正仿宋_gb2312"/>
                      <w:b/>
                      <w:color w:val="000000"/>
                      <w:sz w:val="28"/>
                      <w:shd w:fill="FFFFFF" w:val="clear"/>
                    </w:rPr>
                    <w:t>11</w:t>
                  </w:r>
                  <w:r>
                    <w:rPr>
                      <w:rFonts w:ascii="方正仿宋_gb2312" w:hAnsi="方正仿宋_gb2312" w:cs="方正仿宋_gb2312" w:eastAsia="方正仿宋_gb2312"/>
                      <w:b/>
                      <w:color w:val="000000"/>
                      <w:sz w:val="28"/>
                      <w:shd w:fill="FFFFFF" w:val="clear"/>
                    </w:rPr>
                    <w:t>套</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center"/>
                  </w:pPr>
                </w:p>
              </w:tc>
            </w:tr>
            <w:tr>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rFonts w:ascii="方正仿宋_gb2312" w:hAnsi="方正仿宋_gb2312" w:cs="方正仿宋_gb2312" w:eastAsia="方正仿宋_gb2312"/>
                      <w:color w:val="000000"/>
                      <w:sz w:val="24"/>
                      <w:shd w:fill="FFFFFF" w:val="clear"/>
                    </w:rPr>
                    <w:t>5</w:t>
                  </w:r>
                </w:p>
              </w:tc>
              <w:tc>
                <w:tcPr>
                  <w:tcW w:type="dxa" w:w="7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方正仿宋_gb2312" w:hAnsi="方正仿宋_gb2312" w:cs="方正仿宋_gb2312" w:eastAsia="方正仿宋_gb2312"/>
                      <w:b/>
                      <w:sz w:val="24"/>
                    </w:rPr>
                    <w:t>智能笔</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rFonts w:ascii="方正仿宋_gb2312" w:hAnsi="方正仿宋_gb2312" w:cs="方正仿宋_gb2312" w:eastAsia="方正仿宋_gb2312"/>
                      <w:sz w:val="24"/>
                    </w:rPr>
                    <w:t xml:space="preserve"> </w:t>
                  </w:r>
                </w:p>
              </w:tc>
              <w:tc>
                <w:tcPr>
                  <w:tcW w:type="dxa" w:w="1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方正仿宋_gb2312" w:hAnsi="方正仿宋_gb2312" w:cs="方正仿宋_gb2312" w:eastAsia="方正仿宋_gb2312"/>
                      <w:sz w:val="24"/>
                    </w:rPr>
                    <w:t xml:space="preserve"> 1.笔身造型采用圆润一体化笔型设计，同时支持电容，红外触控设备书写。</w:t>
                  </w:r>
                </w:p>
                <w:p>
                  <w:pPr>
                    <w:pStyle w:val="null3"/>
                    <w:jc w:val="both"/>
                  </w:pPr>
                  <w:r>
                    <w:rPr>
                      <w:rFonts w:ascii="方正仿宋_gb2312" w:hAnsi="方正仿宋_gb2312" w:cs="方正仿宋_gb2312" w:eastAsia="方正仿宋_gb2312"/>
                      <w:sz w:val="24"/>
                    </w:rPr>
                    <w:t>2.配置不少于三个按键，具备上下翻页，智能语音，远程聚光灯/放大等功能。</w:t>
                  </w:r>
                </w:p>
                <w:p>
                  <w:pPr>
                    <w:pStyle w:val="null3"/>
                    <w:jc w:val="both"/>
                  </w:pPr>
                  <w:r>
                    <w:rPr>
                      <w:rFonts w:ascii="方正仿宋_gb2312" w:hAnsi="方正仿宋_gb2312" w:cs="方正仿宋_gb2312" w:eastAsia="方正仿宋_gb2312"/>
                      <w:sz w:val="24"/>
                    </w:rPr>
                    <w:t>3.翻页按键：短按上下翻页按键，可实现白板软件/ppt/pdf等文档上下翻页；长按上下翻页按键，可实现ppt播放/退出。</w:t>
                  </w:r>
                </w:p>
                <w:p>
                  <w:pPr>
                    <w:pStyle w:val="null3"/>
                    <w:jc w:val="both"/>
                  </w:pPr>
                  <w:r>
                    <w:rPr>
                      <w:rFonts w:ascii="方正仿宋_gb2312" w:hAnsi="方正仿宋_gb2312" w:cs="方正仿宋_gb2312" w:eastAsia="方正仿宋_gb2312"/>
                      <w:sz w:val="24"/>
                    </w:rPr>
                    <w:t>4.内置麦克风，支持按键唤醒语音识别功能，可直接通过语音打开已安装的应用，可直接通过语音调用网络搜索引擎搜索查询相应资料，可进行语音转写输入，支持语音控制屏幕黑屏、亮屏，音量大小调整，返回桌面，截屏，关机等操作。</w:t>
                  </w:r>
                </w:p>
                <w:p>
                  <w:pPr>
                    <w:pStyle w:val="null3"/>
                    <w:jc w:val="both"/>
                  </w:pPr>
                  <w:r>
                    <w:rPr>
                      <w:rFonts w:ascii="方正仿宋_gb2312" w:hAnsi="方正仿宋_gb2312" w:cs="方正仿宋_gb2312" w:eastAsia="方正仿宋_gb2312"/>
                      <w:sz w:val="24"/>
                    </w:rPr>
                    <w:t>内置锂电池，支持type-c充电，待机时间≥60h,连续使用时间≥8h，长时间（＞5分钟）无操作时，自动进入休眠模式。</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center"/>
                  </w:pPr>
                  <w:r>
                    <w:rPr>
                      <w:rFonts w:ascii="方正仿宋_gb2312" w:hAnsi="方正仿宋_gb2312" w:cs="方正仿宋_gb2312" w:eastAsia="方正仿宋_gb2312"/>
                      <w:b/>
                      <w:color w:val="000000"/>
                      <w:sz w:val="28"/>
                      <w:shd w:fill="FFFFFF" w:val="clear"/>
                    </w:rPr>
                    <w:t>11</w:t>
                  </w:r>
                  <w:r>
                    <w:rPr>
                      <w:rFonts w:ascii="方正仿宋_gb2312" w:hAnsi="方正仿宋_gb2312" w:cs="方正仿宋_gb2312" w:eastAsia="方正仿宋_gb2312"/>
                      <w:b/>
                      <w:color w:val="000000"/>
                      <w:sz w:val="28"/>
                      <w:shd w:fill="FFFFFF" w:val="clear"/>
                    </w:rPr>
                    <w:t>套</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center"/>
                  </w:pPr>
                </w:p>
              </w:tc>
            </w:tr>
            <w:tr>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方正仿宋_gb2312" w:hAnsi="方正仿宋_gb2312" w:cs="方正仿宋_gb2312" w:eastAsia="方正仿宋_gb2312"/>
                      <w:sz w:val="24"/>
                    </w:rPr>
                    <w:t>6</w:t>
                  </w:r>
                </w:p>
              </w:tc>
              <w:tc>
                <w:tcPr>
                  <w:tcW w:type="dxa" w:w="7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方正仿宋_gb2312" w:hAnsi="方正仿宋_gb2312" w:cs="方正仿宋_gb2312" w:eastAsia="方正仿宋_gb2312"/>
                      <w:b/>
                      <w:sz w:val="24"/>
                    </w:rPr>
                    <w:t>音箱</w:t>
                  </w:r>
                </w:p>
              </w:tc>
              <w:tc>
                <w:tcPr>
                  <w:tcW w:type="dxa" w:w="1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方正仿宋_gb2312" w:hAnsi="方正仿宋_gb2312" w:cs="方正仿宋_gb2312" w:eastAsia="方正仿宋_gb2312"/>
                      <w:sz w:val="24"/>
                    </w:rPr>
                    <w:t>1.</w:t>
                  </w:r>
                  <w:r>
                    <w:rPr>
                      <w:rFonts w:ascii="方正仿宋_gb2312" w:hAnsi="方正仿宋_gb2312" w:cs="方正仿宋_gb2312" w:eastAsia="方正仿宋_gb2312"/>
                      <w:sz w:val="24"/>
                    </w:rPr>
                    <w:t>采用功放与音箱一体设计，内置麦克风无线接收模块，实现智慧黑板扩音和师生扩声。</w:t>
                  </w:r>
                </w:p>
                <w:p>
                  <w:pPr>
                    <w:pStyle w:val="null3"/>
                    <w:jc w:val="both"/>
                  </w:pPr>
                  <w:r>
                    <w:rPr>
                      <w:rFonts w:ascii="方正仿宋_gb2312" w:hAnsi="方正仿宋_gb2312" w:cs="方正仿宋_gb2312" w:eastAsia="方正仿宋_gb2312"/>
                      <w:sz w:val="24"/>
                    </w:rPr>
                    <w:t>2.</w:t>
                  </w:r>
                  <w:r>
                    <w:rPr>
                      <w:rFonts w:ascii="方正仿宋_gb2312" w:hAnsi="方正仿宋_gb2312" w:cs="方正仿宋_gb2312" w:eastAsia="方正仿宋_gb2312"/>
                      <w:sz w:val="24"/>
                    </w:rPr>
                    <w:t>功率:≥2*15W，具有电源开关。</w:t>
                  </w:r>
                </w:p>
                <w:p>
                  <w:pPr>
                    <w:pStyle w:val="null3"/>
                    <w:jc w:val="both"/>
                  </w:pPr>
                  <w:r>
                    <w:rPr>
                      <w:rFonts w:ascii="方正仿宋_gb2312" w:hAnsi="方正仿宋_gb2312" w:cs="方正仿宋_gb2312" w:eastAsia="方正仿宋_gb2312"/>
                      <w:sz w:val="24"/>
                    </w:rPr>
                    <w:t>3.</w:t>
                  </w:r>
                  <w:r>
                    <w:rPr>
                      <w:rFonts w:ascii="calibri, sans-serif" w:hAnsi="calibri, sans-serif" w:cs="calibri, sans-serif" w:eastAsia="calibri, sans-serif"/>
                      <w:b/>
                      <w:sz w:val="24"/>
                    </w:rPr>
                    <w:t>★</w:t>
                  </w:r>
                  <w:r>
                    <w:rPr>
                      <w:rFonts w:ascii="方正仿宋_gb2312" w:hAnsi="方正仿宋_gb2312" w:cs="方正仿宋_gb2312" w:eastAsia="方正仿宋_gb2312"/>
                      <w:sz w:val="24"/>
                    </w:rPr>
                    <w:t>麦克风和功放音箱之间采用数字Wi-Fi传输信号，支持教师声音和其他输入音源叠加输出。</w:t>
                  </w:r>
                </w:p>
                <w:p>
                  <w:pPr>
                    <w:pStyle w:val="null3"/>
                    <w:jc w:val="both"/>
                  </w:pPr>
                  <w:r>
                    <w:rPr>
                      <w:rFonts w:ascii="方正仿宋_gb2312" w:hAnsi="方正仿宋_gb2312" w:cs="方正仿宋_gb2312" w:eastAsia="方正仿宋_gb2312"/>
                      <w:sz w:val="24"/>
                    </w:rPr>
                    <w:t>4.,</w:t>
                  </w:r>
                  <w:r>
                    <w:rPr>
                      <w:rFonts w:ascii="方正仿宋_gb2312" w:hAnsi="方正仿宋_gb2312" w:cs="方正仿宋_gb2312" w:eastAsia="方正仿宋_gb2312"/>
                      <w:sz w:val="24"/>
                    </w:rPr>
                    <w:t>支持密码模式，防止学生连接。</w:t>
                  </w:r>
                </w:p>
                <w:p>
                  <w:pPr>
                    <w:pStyle w:val="null3"/>
                    <w:jc w:val="both"/>
                  </w:pPr>
                  <w:r>
                    <w:rPr>
                      <w:rFonts w:ascii="方正仿宋_gb2312" w:hAnsi="方正仿宋_gb2312" w:cs="方正仿宋_gb2312" w:eastAsia="方正仿宋_gb2312"/>
                      <w:sz w:val="24"/>
                    </w:rPr>
                    <w:t>5.</w:t>
                  </w:r>
                  <w:r>
                    <w:rPr>
                      <w:rFonts w:ascii="方正仿宋_gb2312" w:hAnsi="方正仿宋_gb2312" w:cs="方正仿宋_gb2312" w:eastAsia="方正仿宋_gb2312"/>
                      <w:sz w:val="24"/>
                    </w:rPr>
                    <w:t>支持智慧黑板通过蓝牙连接音箱，控制音箱音量。</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center"/>
                  </w:pPr>
                  <w:r>
                    <w:rPr>
                      <w:rFonts w:ascii="方正仿宋_gb2312" w:hAnsi="方正仿宋_gb2312" w:cs="方正仿宋_gb2312" w:eastAsia="方正仿宋_gb2312"/>
                      <w:b/>
                      <w:color w:val="000000"/>
                      <w:sz w:val="28"/>
                      <w:shd w:fill="FFFFFF" w:val="clear"/>
                    </w:rPr>
                    <w:t>11</w:t>
                  </w:r>
                  <w:r>
                    <w:rPr>
                      <w:rFonts w:ascii="方正仿宋_gb2312" w:hAnsi="方正仿宋_gb2312" w:cs="方正仿宋_gb2312" w:eastAsia="方正仿宋_gb2312"/>
                      <w:b/>
                      <w:color w:val="000000"/>
                      <w:sz w:val="28"/>
                      <w:shd w:fill="FFFFFF" w:val="clear"/>
                    </w:rPr>
                    <w:t>套</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center"/>
                  </w:pPr>
                </w:p>
              </w:tc>
            </w:tr>
            <w:tr>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方正仿宋_gb2312" w:hAnsi="方正仿宋_gb2312" w:cs="方正仿宋_gb2312" w:eastAsia="方正仿宋_gb2312"/>
                      <w:sz w:val="24"/>
                    </w:rPr>
                    <w:t>7</w:t>
                  </w:r>
                </w:p>
              </w:tc>
              <w:tc>
                <w:tcPr>
                  <w:tcW w:type="dxa" w:w="7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方正仿宋_gb2312" w:hAnsi="方正仿宋_gb2312" w:cs="方正仿宋_gb2312" w:eastAsia="方正仿宋_gb2312"/>
                      <w:b/>
                      <w:sz w:val="24"/>
                    </w:rPr>
                    <w:t>无线麦</w:t>
                  </w:r>
                </w:p>
              </w:tc>
              <w:tc>
                <w:tcPr>
                  <w:tcW w:type="dxa" w:w="1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方正仿宋_gb2312" w:hAnsi="方正仿宋_gb2312" w:cs="方正仿宋_gb2312" w:eastAsia="方正仿宋_gb2312"/>
                      <w:sz w:val="24"/>
                    </w:rPr>
                    <w:t>1.</w:t>
                  </w:r>
                  <w:r>
                    <w:rPr>
                      <w:rFonts w:ascii="calibri, sans-serif" w:hAnsi="calibri, sans-serif" w:cs="calibri, sans-serif" w:eastAsia="calibri, sans-serif"/>
                      <w:b/>
                      <w:sz w:val="24"/>
                    </w:rPr>
                    <w:t>★</w:t>
                  </w:r>
                  <w:r>
                    <w:rPr>
                      <w:rFonts w:ascii="方正仿宋_gb2312" w:hAnsi="方正仿宋_gb2312" w:cs="方正仿宋_gb2312" w:eastAsia="方正仿宋_gb2312"/>
                      <w:sz w:val="24"/>
                    </w:rPr>
                    <w:t>无线麦克风集音频发射处理器、天线、电池、拾音麦一体。</w:t>
                  </w:r>
                </w:p>
                <w:p>
                  <w:pPr>
                    <w:pStyle w:val="null3"/>
                    <w:jc w:val="both"/>
                  </w:pPr>
                  <w:r>
                    <w:rPr>
                      <w:rFonts w:ascii="方正仿宋_gb2312" w:hAnsi="方正仿宋_gb2312" w:cs="方正仿宋_gb2312" w:eastAsia="方正仿宋_gb2312"/>
                      <w:sz w:val="24"/>
                    </w:rPr>
                    <w:t>2.</w:t>
                  </w:r>
                  <w:r>
                    <w:rPr>
                      <w:rFonts w:ascii="方正仿宋_gb2312" w:hAnsi="方正仿宋_gb2312" w:cs="方正仿宋_gb2312" w:eastAsia="方正仿宋_gb2312"/>
                      <w:sz w:val="24"/>
                    </w:rPr>
                    <w:t>采样率≥48KHz，扩音增益≥15dB，底噪≤100uVrms，声信噪比≥60dB。</w:t>
                  </w:r>
                </w:p>
                <w:p>
                  <w:pPr>
                    <w:pStyle w:val="null3"/>
                    <w:jc w:val="both"/>
                  </w:pPr>
                  <w:r>
                    <w:rPr>
                      <w:rFonts w:ascii="方正仿宋_gb2312" w:hAnsi="方正仿宋_gb2312" w:cs="方正仿宋_gb2312" w:eastAsia="方正仿宋_gb2312"/>
                      <w:sz w:val="24"/>
                    </w:rPr>
                    <w:t>3.</w:t>
                  </w:r>
                  <w:r>
                    <w:rPr>
                      <w:rFonts w:ascii="方正仿宋_gb2312" w:hAnsi="方正仿宋_gb2312" w:cs="方正仿宋_gb2312" w:eastAsia="方正仿宋_gb2312"/>
                      <w:sz w:val="24"/>
                    </w:rPr>
                    <w:t>支持2.4GHz与5G双频段工作，信道数量≥20个。</w:t>
                  </w:r>
                </w:p>
                <w:p>
                  <w:pPr>
                    <w:pStyle w:val="null3"/>
                    <w:jc w:val="both"/>
                  </w:pPr>
                  <w:r>
                    <w:rPr>
                      <w:rFonts w:ascii="方正仿宋_gb2312" w:hAnsi="方正仿宋_gb2312" w:cs="方正仿宋_gb2312" w:eastAsia="方正仿宋_gb2312"/>
                      <w:sz w:val="24"/>
                    </w:rPr>
                    <w:t>4.</w:t>
                  </w:r>
                  <w:r>
                    <w:rPr>
                      <w:rFonts w:ascii="calibri, sans-serif" w:hAnsi="calibri, sans-serif" w:cs="calibri, sans-serif" w:eastAsia="calibri, sans-serif"/>
                      <w:b/>
                      <w:sz w:val="24"/>
                    </w:rPr>
                    <w:t>★</w:t>
                  </w:r>
                  <w:r>
                    <w:rPr>
                      <w:rFonts w:ascii="方正仿宋_gb2312" w:hAnsi="方正仿宋_gb2312" w:cs="方正仿宋_gb2312" w:eastAsia="方正仿宋_gb2312"/>
                      <w:sz w:val="24"/>
                    </w:rPr>
                    <w:t>采用红外对码方式连接音箱，支持两个无线麦克风同时配对同一音箱，两个麦克风可混音扩音。</w:t>
                  </w:r>
                </w:p>
                <w:p>
                  <w:pPr>
                    <w:pStyle w:val="null3"/>
                    <w:jc w:val="both"/>
                  </w:pPr>
                  <w:r>
                    <w:rPr>
                      <w:rFonts w:ascii="方正仿宋_gb2312" w:hAnsi="方正仿宋_gb2312" w:cs="方正仿宋_gb2312" w:eastAsia="方正仿宋_gb2312"/>
                      <w:sz w:val="24"/>
                    </w:rPr>
                    <w:t>5.</w:t>
                  </w:r>
                  <w:r>
                    <w:rPr>
                      <w:rFonts w:ascii="方正仿宋_gb2312" w:hAnsi="方正仿宋_gb2312" w:cs="方正仿宋_gb2312" w:eastAsia="方正仿宋_gb2312"/>
                      <w:sz w:val="24"/>
                    </w:rPr>
                    <w:t>具备Type-c接口，可连接头戴式、挂耳式外置麦克风，与充电接口复用。</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center"/>
                  </w:pPr>
                  <w:r>
                    <w:rPr>
                      <w:rFonts w:ascii="方正仿宋_gb2312" w:hAnsi="方正仿宋_gb2312" w:cs="方正仿宋_gb2312" w:eastAsia="方正仿宋_gb2312"/>
                      <w:b/>
                      <w:color w:val="000000"/>
                      <w:sz w:val="28"/>
                      <w:shd w:fill="FFFFFF" w:val="clear"/>
                    </w:rPr>
                    <w:t>11</w:t>
                  </w:r>
                  <w:r>
                    <w:rPr>
                      <w:rFonts w:ascii="方正仿宋_gb2312" w:hAnsi="方正仿宋_gb2312" w:cs="方正仿宋_gb2312" w:eastAsia="方正仿宋_gb2312"/>
                      <w:b/>
                      <w:color w:val="000000"/>
                      <w:sz w:val="28"/>
                      <w:shd w:fill="FFFFFF" w:val="clear"/>
                    </w:rPr>
                    <w:t>套</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center"/>
                  </w:pPr>
                </w:p>
              </w:tc>
            </w:tr>
          </w:tbl>
          <w:p/>
        </w:tc>
      </w:tr>
    </w:tbl>
    <w:p>
      <w:pPr>
        <w:pStyle w:val="null3"/>
        <w:jc w:val="left"/>
        <w:outlineLvl w:val="2"/>
      </w:pPr>
      <w:r>
        <w:rPr>
          <w:b/>
          <w:sz w:val="28"/>
        </w:rPr>
        <w:t>3.3.服务要求</w:t>
      </w:r>
    </w:p>
    <w:p>
      <w:pPr>
        <w:pStyle w:val="null3"/>
        <w:jc w:val="left"/>
        <w:outlineLvl w:val="3"/>
      </w:pPr>
      <w:r>
        <w:rPr>
          <w:b/>
          <w:sz w:val="24"/>
        </w:rPr>
        <w:t>3.3.1.服务内容要求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 xml:space="preserve"> 序号</w:t>
            </w:r>
          </w:p>
        </w:tc>
        <w:tc>
          <w:tcPr>
            <w:tcW w:type="dxa" w:w="2076"/>
          </w:tcPr>
          <w:p>
            <w:pPr>
              <w:pStyle w:val="null3"/>
              <w:jc w:val="left"/>
            </w:pPr>
            <w:r>
              <w:rPr/>
              <w:t xml:space="preserve"> 符号标识</w:t>
            </w:r>
          </w:p>
        </w:tc>
        <w:tc>
          <w:tcPr>
            <w:tcW w:type="dxa" w:w="2076"/>
          </w:tcPr>
          <w:p>
            <w:pPr>
              <w:pStyle w:val="null3"/>
              <w:jc w:val="left"/>
            </w:pPr>
            <w:r>
              <w:rPr/>
              <w:t xml:space="preserve"> 服务要求名称</w:t>
            </w:r>
          </w:p>
        </w:tc>
        <w:tc>
          <w:tcPr>
            <w:tcW w:type="dxa" w:w="2076"/>
          </w:tcPr>
          <w:p>
            <w:pPr>
              <w:pStyle w:val="null3"/>
              <w:jc w:val="left"/>
            </w:pPr>
            <w:r>
              <w:rPr/>
              <w:t xml:space="preserve"> 服务要求内容</w:t>
            </w:r>
          </w:p>
        </w:tc>
      </w:tr>
      <w:tr>
        <w:tc>
          <w:tcPr>
            <w:tcW w:type="dxa" w:w="2076"/>
          </w:tcPr>
          <w:p>
            <w:pPr>
              <w:pStyle w:val="null3"/>
              <w:jc w:val="left"/>
            </w:pPr>
            <w:r>
              <w:rPr/>
              <w:t>1</w:t>
            </w:r>
          </w:p>
        </w:tc>
        <w:tc>
          <w:tcPr>
            <w:tcW w:type="dxa" w:w="2076"/>
          </w:tcPr>
          <w:p/>
        </w:tc>
        <w:tc>
          <w:tcPr>
            <w:tcW w:type="dxa" w:w="2076"/>
          </w:tcPr>
          <w:p>
            <w:pPr>
              <w:pStyle w:val="null3"/>
              <w:jc w:val="left"/>
            </w:pPr>
            <w:r>
              <w:rPr/>
              <w:t>售后服务</w:t>
            </w:r>
          </w:p>
        </w:tc>
        <w:tc>
          <w:tcPr>
            <w:tcW w:type="dxa" w:w="2076"/>
          </w:tcPr>
          <w:p>
            <w:pPr>
              <w:pStyle w:val="null3"/>
              <w:jc w:val="both"/>
            </w:pPr>
            <w:r>
              <w:rPr>
                <w:rFonts w:ascii="simsun" w:hAnsi="simsun" w:cs="simsun" w:eastAsia="simsun"/>
                <w:color w:val="000000"/>
                <w:sz w:val="24"/>
              </w:rPr>
              <w:t>成交供应商提供7*24小时技术支持，接到故障报修后30分钟内响应，6小时内到达现场，24小时内排除故障。</w:t>
            </w:r>
          </w:p>
        </w:tc>
      </w:tr>
      <w:tr>
        <w:tc>
          <w:tcPr>
            <w:tcW w:type="dxa" w:w="2076"/>
          </w:tcPr>
          <w:p>
            <w:pPr>
              <w:pStyle w:val="null3"/>
              <w:jc w:val="left"/>
            </w:pPr>
            <w:r>
              <w:rPr/>
              <w:t>2</w:t>
            </w:r>
          </w:p>
        </w:tc>
        <w:tc>
          <w:tcPr>
            <w:tcW w:type="dxa" w:w="2076"/>
          </w:tcPr>
          <w:p/>
        </w:tc>
        <w:tc>
          <w:tcPr>
            <w:tcW w:type="dxa" w:w="2076"/>
          </w:tcPr>
          <w:p>
            <w:pPr>
              <w:pStyle w:val="null3"/>
              <w:jc w:val="left"/>
            </w:pPr>
            <w:r>
              <w:rPr/>
              <w:t>知识产权归属和处理方式</w:t>
            </w:r>
          </w:p>
        </w:tc>
        <w:tc>
          <w:tcPr>
            <w:tcW w:type="dxa" w:w="2076"/>
          </w:tcPr>
          <w:p>
            <w:pPr>
              <w:pStyle w:val="null3"/>
              <w:ind w:firstLine="840"/>
              <w:jc w:val="both"/>
            </w:pPr>
            <w:r>
              <w:rPr>
                <w:rFonts w:ascii="simsun" w:hAnsi="simsun" w:cs="simsun" w:eastAsia="simsun"/>
                <w:color w:val="000000"/>
                <w:sz w:val="24"/>
                <w:shd w:fill="FFFFFF" w:val="clear"/>
              </w:rPr>
              <w:t>1.供应商应保证在本项目中使用的任何产品和服务（包括部分使用），不会产生因第三方提出侵犯其专利权、商标权或其它知识产权而引起的法律和经济纠纷，如因专利权、商标权或其它知识产权而引起法律和经济纠纷，由供应商承担所有相关责任。 2.除非询价通知书特别规定，采购人享有本项目实施过程中产生的知识成果及知识产权。 3.供应商如欲在项目实施过程中采用自有知识成果，需在响应文件中声明，应当在响应文件中载明，并提供相关知识产权证明文件。使用该知识成果后，供应商需提供开发接口和开发手册等技术文档，并承诺提供无限期技术支持，采购人享有永久使用权（含采购人委托第三方在该项目后续开发的使用权）。 4. 如采用供应商所不拥有的知识产权，则在报价中必须包括合法获取该知识产权的相关费用。</w:t>
            </w:r>
          </w:p>
        </w:tc>
      </w:tr>
    </w:tbl>
    <w:p>
      <w:pPr>
        <w:pStyle w:val="null3"/>
        <w:jc w:val="left"/>
        <w:outlineLvl w:val="3"/>
      </w:pPr>
      <w:r>
        <w:rPr>
          <w:b/>
          <w:sz w:val="24"/>
        </w:rPr>
        <w:t>3.3.2.商务要求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符号标识</w:t>
            </w:r>
          </w:p>
        </w:tc>
        <w:tc>
          <w:tcPr>
            <w:tcW w:type="dxa" w:w="2076"/>
          </w:tcPr>
          <w:p>
            <w:pPr>
              <w:pStyle w:val="null3"/>
              <w:jc w:val="left"/>
            </w:pPr>
            <w:r>
              <w:rPr/>
              <w:t>商务要求名称</w:t>
            </w:r>
          </w:p>
        </w:tc>
        <w:tc>
          <w:tcPr>
            <w:tcW w:type="dxa" w:w="2076"/>
          </w:tcPr>
          <w:p>
            <w:pPr>
              <w:pStyle w:val="null3"/>
              <w:jc w:val="left"/>
            </w:pPr>
            <w:r>
              <w:rPr/>
              <w:t>商务要求内容</w:t>
            </w:r>
          </w:p>
        </w:tc>
      </w:tr>
      <w:tr>
        <w:tc>
          <w:tcPr>
            <w:tcW w:type="dxa" w:w="2076"/>
          </w:tcPr>
          <w:p>
            <w:pPr>
              <w:pStyle w:val="null3"/>
              <w:jc w:val="left"/>
            </w:pPr>
            <w:r>
              <w:rPr/>
              <w:t>1</w:t>
            </w:r>
          </w:p>
        </w:tc>
        <w:tc>
          <w:tcPr>
            <w:tcW w:type="dxa" w:w="2076"/>
          </w:tcPr>
          <w:p/>
        </w:tc>
        <w:tc>
          <w:tcPr>
            <w:tcW w:type="dxa" w:w="2076"/>
          </w:tcPr>
          <w:p>
            <w:pPr>
              <w:pStyle w:val="null3"/>
              <w:jc w:val="left"/>
            </w:pPr>
            <w:r>
              <w:rPr/>
              <w:t>交货时间</w:t>
            </w:r>
          </w:p>
        </w:tc>
        <w:tc>
          <w:tcPr>
            <w:tcW w:type="dxa" w:w="2076"/>
          </w:tcPr>
          <w:p>
            <w:pPr>
              <w:pStyle w:val="null3"/>
              <w:jc w:val="left"/>
            </w:pPr>
            <w:r>
              <w:rPr/>
              <w:t>自合同签订之日起7日</w:t>
            </w:r>
          </w:p>
        </w:tc>
      </w:tr>
      <w:tr>
        <w:tc>
          <w:tcPr>
            <w:tcW w:type="dxa" w:w="2076"/>
          </w:tcPr>
          <w:p>
            <w:pPr>
              <w:pStyle w:val="null3"/>
              <w:jc w:val="left"/>
            </w:pPr>
            <w:r>
              <w:rPr/>
              <w:t>2</w:t>
            </w:r>
          </w:p>
        </w:tc>
        <w:tc>
          <w:tcPr>
            <w:tcW w:type="dxa" w:w="2076"/>
          </w:tcPr>
          <w:p/>
        </w:tc>
        <w:tc>
          <w:tcPr>
            <w:tcW w:type="dxa" w:w="2076"/>
          </w:tcPr>
          <w:p>
            <w:pPr>
              <w:pStyle w:val="null3"/>
              <w:jc w:val="left"/>
            </w:pPr>
            <w:r>
              <w:rPr/>
              <w:t>交货地点</w:t>
            </w:r>
          </w:p>
        </w:tc>
        <w:tc>
          <w:tcPr>
            <w:tcW w:type="dxa" w:w="2076"/>
          </w:tcPr>
          <w:p>
            <w:pPr>
              <w:pStyle w:val="null3"/>
              <w:jc w:val="left"/>
            </w:pPr>
            <w:r>
              <w:rPr/>
              <w:t>巴中市巴州区兴文镇中心小学校</w:t>
            </w:r>
          </w:p>
        </w:tc>
      </w:tr>
      <w:tr>
        <w:tc>
          <w:tcPr>
            <w:tcW w:type="dxa" w:w="2076"/>
          </w:tcPr>
          <w:p>
            <w:pPr>
              <w:pStyle w:val="null3"/>
              <w:jc w:val="left"/>
            </w:pPr>
            <w:r>
              <w:rPr/>
              <w:t>3</w:t>
            </w:r>
          </w:p>
        </w:tc>
        <w:tc>
          <w:tcPr>
            <w:tcW w:type="dxa" w:w="2076"/>
          </w:tcPr>
          <w:p/>
        </w:tc>
        <w:tc>
          <w:tcPr>
            <w:tcW w:type="dxa" w:w="2076"/>
          </w:tcPr>
          <w:p>
            <w:pPr>
              <w:pStyle w:val="null3"/>
              <w:jc w:val="left"/>
            </w:pPr>
            <w:r>
              <w:rPr/>
              <w:t>支付方式</w:t>
            </w:r>
          </w:p>
        </w:tc>
        <w:tc>
          <w:tcPr>
            <w:tcW w:type="dxa" w:w="2076"/>
          </w:tcPr>
          <w:p>
            <w:pPr>
              <w:pStyle w:val="null3"/>
              <w:jc w:val="left"/>
            </w:pPr>
            <w:r>
              <w:rPr/>
              <w:t>分期付款</w:t>
            </w:r>
          </w:p>
        </w:tc>
      </w:tr>
      <w:tr>
        <w:tc>
          <w:tcPr>
            <w:tcW w:type="dxa" w:w="2076"/>
          </w:tcPr>
          <w:p>
            <w:pPr>
              <w:pStyle w:val="null3"/>
              <w:jc w:val="left"/>
            </w:pPr>
            <w:r>
              <w:rPr/>
              <w:t>4</w:t>
            </w:r>
          </w:p>
        </w:tc>
        <w:tc>
          <w:tcPr>
            <w:tcW w:type="dxa" w:w="2076"/>
          </w:tcPr>
          <w:p/>
        </w:tc>
        <w:tc>
          <w:tcPr>
            <w:tcW w:type="dxa" w:w="2076"/>
          </w:tcPr>
          <w:p>
            <w:pPr>
              <w:pStyle w:val="null3"/>
              <w:jc w:val="left"/>
            </w:pPr>
            <w:r>
              <w:rPr/>
              <w:t>付款进度安排</w:t>
            </w:r>
          </w:p>
        </w:tc>
        <w:tc>
          <w:tcPr>
            <w:tcW w:type="dxa" w:w="2076"/>
          </w:tcPr>
          <w:p>
            <w:pPr>
              <w:pStyle w:val="null3"/>
              <w:jc w:val="left"/>
            </w:pPr>
            <w:r>
              <w:rPr/>
              <w:t>1、合同签订后，达到付款条件起7日内，据实情况说明为支付合同总金额的40%</w:t>
            </w:r>
          </w:p>
          <w:p>
            <w:pPr>
              <w:pStyle w:val="null3"/>
              <w:jc w:val="left"/>
            </w:pPr>
            <w:r>
              <w:rPr/>
              <w:t>2、项目验收合格后，达到付款条件起7日内，据实情况说明为支付合同总金额的60%</w:t>
            </w:r>
          </w:p>
        </w:tc>
      </w:tr>
      <w:tr>
        <w:tc>
          <w:tcPr>
            <w:tcW w:type="dxa" w:w="2076"/>
          </w:tcPr>
          <w:p>
            <w:pPr>
              <w:pStyle w:val="null3"/>
              <w:jc w:val="left"/>
            </w:pPr>
            <w:r>
              <w:rPr/>
              <w:t>5</w:t>
            </w:r>
          </w:p>
        </w:tc>
        <w:tc>
          <w:tcPr>
            <w:tcW w:type="dxa" w:w="2076"/>
          </w:tcPr>
          <w:p/>
        </w:tc>
        <w:tc>
          <w:tcPr>
            <w:tcW w:type="dxa" w:w="2076"/>
          </w:tcPr>
          <w:p>
            <w:pPr>
              <w:pStyle w:val="null3"/>
              <w:jc w:val="left"/>
            </w:pPr>
            <w:r>
              <w:rPr/>
              <w:t>验收、交付标准和方法</w:t>
            </w:r>
          </w:p>
        </w:tc>
        <w:tc>
          <w:tcPr>
            <w:tcW w:type="dxa" w:w="2076"/>
          </w:tcPr>
          <w:p>
            <w:pPr>
              <w:pStyle w:val="null3"/>
              <w:jc w:val="left"/>
            </w:pPr>
            <w:r>
              <w:rPr/>
              <w:t>严格按照《财政部关于进一步加强政府采购需求和履约验收管理的指导意见》(财库〔2016〕 205 号)、财政部《政府采购需求管理办法》（财库〔2021〕22号）的要求进行验收。验收标准按采购人要求的技术参数标准执行。</w:t>
            </w:r>
          </w:p>
        </w:tc>
      </w:tr>
      <w:tr>
        <w:tc>
          <w:tcPr>
            <w:tcW w:type="dxa" w:w="2076"/>
          </w:tcPr>
          <w:p>
            <w:pPr>
              <w:pStyle w:val="null3"/>
              <w:jc w:val="left"/>
            </w:pPr>
            <w:r>
              <w:rPr/>
              <w:t>6</w:t>
            </w:r>
          </w:p>
        </w:tc>
        <w:tc>
          <w:tcPr>
            <w:tcW w:type="dxa" w:w="2076"/>
          </w:tcPr>
          <w:p/>
        </w:tc>
        <w:tc>
          <w:tcPr>
            <w:tcW w:type="dxa" w:w="2076"/>
          </w:tcPr>
          <w:p>
            <w:pPr>
              <w:pStyle w:val="null3"/>
              <w:jc w:val="left"/>
            </w:pPr>
            <w:r>
              <w:rPr/>
              <w:t>质量保修范围和保修期</w:t>
            </w:r>
          </w:p>
        </w:tc>
        <w:tc>
          <w:tcPr>
            <w:tcW w:type="dxa" w:w="2076"/>
          </w:tcPr>
          <w:p>
            <w:pPr>
              <w:pStyle w:val="null3"/>
              <w:jc w:val="left"/>
            </w:pPr>
            <w:r>
              <w:rPr/>
              <w:t>整体及零部件保修期3年</w:t>
            </w:r>
          </w:p>
        </w:tc>
      </w:tr>
      <w:tr>
        <w:tc>
          <w:tcPr>
            <w:tcW w:type="dxa" w:w="2076"/>
          </w:tcPr>
          <w:p>
            <w:pPr>
              <w:pStyle w:val="null3"/>
              <w:jc w:val="left"/>
            </w:pPr>
            <w:r>
              <w:rPr/>
              <w:t>7</w:t>
            </w:r>
          </w:p>
        </w:tc>
        <w:tc>
          <w:tcPr>
            <w:tcW w:type="dxa" w:w="2076"/>
          </w:tcPr>
          <w:p/>
        </w:tc>
        <w:tc>
          <w:tcPr>
            <w:tcW w:type="dxa" w:w="2076"/>
          </w:tcPr>
          <w:p>
            <w:pPr>
              <w:pStyle w:val="null3"/>
              <w:jc w:val="left"/>
            </w:pPr>
            <w:r>
              <w:rPr/>
              <w:t>违约责任与解决争议的方法</w:t>
            </w:r>
          </w:p>
        </w:tc>
        <w:tc>
          <w:tcPr>
            <w:tcW w:type="dxa" w:w="2076"/>
          </w:tcPr>
          <w:p>
            <w:pPr>
              <w:pStyle w:val="null3"/>
              <w:jc w:val="left"/>
            </w:pPr>
            <w:r>
              <w:rPr/>
              <w:t>1、采购人违约责任 (1) 采购人逾期支付货款的，除应及时付足货款外，应向供应商偿付欠款总额万分之三/天的违约金；逾期付款超过15天的，供应商有权终止合同； (2)采购人偿付的违约金不足以弥补供应商损失的，还应按供应商损失尚未弥补的部分，支付赔偿金给供应商。 2、供应商违约责任 (1)供应商交付的货物质量不符合合同规定的，供应商应向采购人支付合同总价的百分之三十的违约金，并须在合同规定的交货时间内更换合格的货物给采购人，否则，视作供应商不能交付货物而违约，按本条本款下述第“(2)”项规定由供应商偿付违约赔偿金给采购人。 (2)供应商不能交付货物或逾 期交付货物而违约的，除应及时交足货物外，应向采购人偿付逾期交货部分货款总额的万分之三/天的违约金；逾期交货超过15天，采购人有权终止合同，供应商则应按合同总价的百分之三十的款额向采购人偿付赔偿金，并须全额退还采购人已经付给供应商的货款及其利息。 (3)供应商货物经采购人送交具有法定资格条件的质量技术监督机构检测后，如检测结果认定货物质量不符合本合同规定标准的，则视为供应商没有按时交货而违约，供应商须在15天内无条件更换合格的货物，如逾期不能更换合格的货物，采购人有权终止本合同，供应商应另付合同总价的百分之三十的赔偿金给采购人。 (4)供应商保证本合同货物的权利无瑕疵，包括货物所有权及知识产权等权利无瑕疵。如任何第三方经法院(或仲裁机构)裁决有权对上述货物主张权利或国家机关依法对货物进行没收查处的，供应商除应向采购人返还已收款项外，还应另按合同总价的百分之三十向采购人支付违约金并赔偿因此给采购人造成的一切损失。 (5)供应商偿付的违约金不足以弥补采购人损失的，还应按采购人损失尚未弥补的部分，支付赔偿金给采购人。 争议解决的方式包括协商、仲裁、诉讼等。</w:t>
            </w:r>
          </w:p>
        </w:tc>
      </w:tr>
      <w:tr>
        <w:tc>
          <w:tcPr>
            <w:tcW w:type="dxa" w:w="2076"/>
          </w:tcPr>
          <w:p>
            <w:pPr>
              <w:pStyle w:val="null3"/>
              <w:jc w:val="left"/>
            </w:pPr>
            <w:r>
              <w:rPr/>
              <w:t>8</w:t>
            </w:r>
          </w:p>
        </w:tc>
        <w:tc>
          <w:tcPr>
            <w:tcW w:type="dxa" w:w="2076"/>
          </w:tcPr>
          <w:p/>
        </w:tc>
        <w:tc>
          <w:tcPr>
            <w:tcW w:type="dxa" w:w="2076"/>
          </w:tcPr>
          <w:p>
            <w:pPr>
              <w:pStyle w:val="null3"/>
              <w:jc w:val="left"/>
            </w:pPr>
            <w:r>
              <w:rPr/>
              <w:t>包装方式及运输</w:t>
            </w:r>
          </w:p>
        </w:tc>
        <w:tc>
          <w:tcPr>
            <w:tcW w:type="dxa" w:w="2076"/>
          </w:tcPr>
          <w:p>
            <w:pPr>
              <w:pStyle w:val="null3"/>
              <w:jc w:val="left"/>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b/>
          <w:sz w:val="28"/>
        </w:rPr>
        <w:t>3.4.其他要求</w:t>
      </w:r>
    </w:p>
    <w:p>
      <w:pPr>
        <w:pStyle w:val="null3"/>
        <w:ind w:firstLine="480"/>
        <w:jc w:val="left"/>
      </w:pPr>
      <w:r>
        <w:rPr/>
        <w:t>采购包1：</w:t>
      </w:r>
    </w:p>
    <w:p>
      <w:pPr>
        <w:pStyle w:val="null3"/>
        <w:jc w:val="left"/>
      </w:pPr>
      <w:r>
        <w:rPr/>
        <w:t>供应商签订合同时需提供询价文件中所要求的“具有CMA认证的第三方检测报告复印件并加盖供应商公章”，并提供真伪验证渠道，如不提供相关检测报告，甲方有权拒绝签订合同，供应商自行承担由此造成的一切责任。</w:t>
      </w:r>
    </w:p>
    <w:p>
      <w:pPr>
        <w:pStyle w:val="null3"/>
      </w:pPr>
      <w:r>
        <w:rPr/>
        <w:t xml:space="preserve"> </w:t>
        <w:br/>
        <w:br w:type="page"/>
      </w:r>
    </w:p>
    <w:p>
      <w:pPr>
        <w:pStyle w:val="null3"/>
        <w:jc w:val="center"/>
        <w:outlineLvl w:val="1"/>
      </w:pPr>
      <w:r>
        <w:rPr>
          <w:b/>
          <w:sz w:val="36"/>
        </w:rPr>
        <w:t>第四章 评审办法</w:t>
      </w:r>
    </w:p>
    <w:p>
      <w:pPr>
        <w:pStyle w:val="null3"/>
        <w:jc w:val="left"/>
        <w:outlineLvl w:val="2"/>
      </w:pPr>
      <w:r>
        <w:rPr>
          <w:b/>
          <w:sz w:val="28"/>
        </w:rPr>
        <w:t>4.1.总则</w:t>
      </w:r>
    </w:p>
    <w:p>
      <w:pPr>
        <w:pStyle w:val="null3"/>
        <w:ind w:firstLine="480"/>
        <w:jc w:val="left"/>
      </w:pPr>
      <w:r>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t>二、评审工作由代理机构组织，具体评审事务由依法组建的询价小组负责，询价小组由采购人代表和评审专家组成。</w:t>
      </w:r>
    </w:p>
    <w:p>
      <w:pPr>
        <w:pStyle w:val="null3"/>
        <w:ind w:firstLine="480"/>
        <w:jc w:val="left"/>
      </w:pPr>
      <w:r>
        <w:rPr/>
        <w:t>三、评审工作应遵循客观、公正、审慎的原则，根据询价通知书规定的评审程序、评审方法和评审标准进行独立评审。</w:t>
      </w:r>
    </w:p>
    <w:p>
      <w:pPr>
        <w:pStyle w:val="null3"/>
        <w:ind w:firstLine="480"/>
        <w:jc w:val="left"/>
      </w:pPr>
      <w:r>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b/>
          <w:sz w:val="28"/>
        </w:rPr>
        <w:t>4.2.询价小组</w:t>
      </w:r>
    </w:p>
    <w:p>
      <w:pPr>
        <w:pStyle w:val="null3"/>
        <w:ind w:firstLine="480"/>
        <w:jc w:val="left"/>
      </w:pPr>
      <w:r>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t>四、询价小组应当履行下列职责：</w:t>
      </w:r>
    </w:p>
    <w:p>
      <w:pPr>
        <w:pStyle w:val="null3"/>
        <w:ind w:firstLine="480"/>
        <w:jc w:val="left"/>
      </w:pPr>
      <w:r>
        <w:rPr/>
        <w:t>（一）熟悉和理解询价通知书；</w:t>
      </w:r>
    </w:p>
    <w:p>
      <w:pPr>
        <w:pStyle w:val="null3"/>
        <w:ind w:firstLine="480"/>
        <w:jc w:val="left"/>
      </w:pPr>
      <w:r>
        <w:rPr/>
        <w:t>（二）审查、评价供应商响应文件等是否满足询价通知书要求；</w:t>
      </w:r>
    </w:p>
    <w:p>
      <w:pPr>
        <w:pStyle w:val="null3"/>
        <w:ind w:firstLine="480"/>
        <w:jc w:val="left"/>
      </w:pPr>
      <w:r>
        <w:rPr/>
        <w:t>（三）对响应文件进行比较和评价；</w:t>
      </w:r>
    </w:p>
    <w:p>
      <w:pPr>
        <w:pStyle w:val="null3"/>
        <w:ind w:firstLine="480"/>
        <w:jc w:val="left"/>
      </w:pPr>
      <w:r>
        <w:rPr/>
        <w:t>（四）根据需要要求采购人、代理机构对询价通知书作出解释；根据需要要求供应商对响应文件有关事项作出澄清、说明或者更正；</w:t>
      </w:r>
    </w:p>
    <w:p>
      <w:pPr>
        <w:pStyle w:val="null3"/>
        <w:ind w:firstLine="480"/>
        <w:jc w:val="left"/>
      </w:pPr>
      <w:r>
        <w:rPr/>
        <w:t>（五）推荐成交候选供应商，或者受采购人委托确定成交供应商；</w:t>
      </w:r>
    </w:p>
    <w:p>
      <w:pPr>
        <w:pStyle w:val="null3"/>
        <w:ind w:firstLine="480"/>
        <w:jc w:val="left"/>
      </w:pPr>
      <w:r>
        <w:rPr/>
        <w:t>（六）起草资格审查报告、询价报告并进行签署；</w:t>
      </w:r>
    </w:p>
    <w:p>
      <w:pPr>
        <w:pStyle w:val="null3"/>
        <w:ind w:firstLine="480"/>
        <w:jc w:val="left"/>
      </w:pPr>
      <w:r>
        <w:rPr/>
        <w:t>（七）向采购人、代理机构或者有关部门报告协商中发现的违法行为；</w:t>
      </w:r>
    </w:p>
    <w:p>
      <w:pPr>
        <w:pStyle w:val="null3"/>
        <w:ind w:firstLine="480"/>
        <w:jc w:val="left"/>
      </w:pPr>
      <w:r>
        <w:rPr/>
        <w:t>（八）按规定告知供应商，未实质性响应询价通知书的响应文件按无效响应处理；</w:t>
      </w:r>
    </w:p>
    <w:p>
      <w:pPr>
        <w:pStyle w:val="null3"/>
        <w:ind w:firstLine="480"/>
        <w:jc w:val="left"/>
      </w:pPr>
      <w:r>
        <w:rPr/>
        <w:t>（九）法律、法规和规章规定的其他职责。</w:t>
      </w:r>
    </w:p>
    <w:p>
      <w:pPr>
        <w:pStyle w:val="null3"/>
        <w:jc w:val="left"/>
        <w:outlineLvl w:val="2"/>
      </w:pPr>
      <w:r>
        <w:rPr>
          <w:b/>
          <w:sz w:val="28"/>
        </w:rPr>
        <w:t>4.3.评审程序</w:t>
      </w:r>
    </w:p>
    <w:p>
      <w:pPr>
        <w:pStyle w:val="null3"/>
        <w:jc w:val="left"/>
        <w:outlineLvl w:val="3"/>
      </w:pPr>
      <w:r>
        <w:rPr>
          <w:b/>
          <w:sz w:val="24"/>
        </w:rPr>
        <w:t>4.3.1.熟悉和理解询价通知书</w:t>
      </w:r>
    </w:p>
    <w:p>
      <w:pPr>
        <w:pStyle w:val="null3"/>
        <w:ind w:firstLine="480"/>
        <w:jc w:val="left"/>
      </w:pPr>
      <w:r>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b/>
          <w:sz w:val="24"/>
        </w:rPr>
        <w:t>4.3.2.停止评审的情形</w:t>
      </w:r>
    </w:p>
    <w:p>
      <w:pPr>
        <w:pStyle w:val="null3"/>
        <w:ind w:firstLine="480"/>
        <w:jc w:val="left"/>
      </w:pPr>
      <w:r>
        <w:rPr/>
        <w:t>询价小组熟悉和理解询价通知书以及评审过程中，发现本询价通知书有下列情形之一的，询价小组应当停止评审：</w:t>
      </w:r>
    </w:p>
    <w:p>
      <w:pPr>
        <w:pStyle w:val="null3"/>
        <w:ind w:firstLine="480"/>
        <w:jc w:val="left"/>
      </w:pPr>
      <w:r>
        <w:rPr/>
        <w:t>一、询价通知书的规定存在歧义、重大缺陷，导致评审工作无法进行的；</w:t>
      </w:r>
    </w:p>
    <w:p>
      <w:pPr>
        <w:pStyle w:val="null3"/>
        <w:ind w:firstLine="480"/>
        <w:jc w:val="left"/>
      </w:pPr>
      <w:r>
        <w:rPr/>
        <w:t>二、询价通知书明显以不合理条件对供应商实行差别待遇或者歧视待遇的；</w:t>
      </w:r>
    </w:p>
    <w:p>
      <w:pPr>
        <w:pStyle w:val="null3"/>
        <w:ind w:firstLine="480"/>
        <w:jc w:val="left"/>
      </w:pPr>
      <w:r>
        <w:rPr/>
        <w:t>三、采购项目属于国家规定的优先、强制采购范围，但是询价通知书未依法体现优先、强制采购相关规定的；</w:t>
      </w:r>
    </w:p>
    <w:p>
      <w:pPr>
        <w:pStyle w:val="null3"/>
        <w:ind w:firstLine="480"/>
        <w:jc w:val="left"/>
      </w:pPr>
      <w:r>
        <w:rPr/>
        <w:t>四、采购项目属于政府采购促进中小企业发展的范围，但是询价通知书未依法体现促进中小企业发展相关规定的；</w:t>
      </w:r>
    </w:p>
    <w:p>
      <w:pPr>
        <w:pStyle w:val="null3"/>
        <w:ind w:firstLine="480"/>
        <w:jc w:val="left"/>
      </w:pPr>
      <w:r>
        <w:rPr/>
        <w:t>五、询价通知书载明的成交原则不合法的；</w:t>
      </w:r>
    </w:p>
    <w:p>
      <w:pPr>
        <w:pStyle w:val="null3"/>
        <w:ind w:firstLine="480"/>
        <w:jc w:val="left"/>
      </w:pPr>
      <w:r>
        <w:rPr/>
        <w:t>六、询价通知书有违反国家其他有关强制性规定的情形。</w:t>
      </w:r>
    </w:p>
    <w:p>
      <w:pPr>
        <w:pStyle w:val="null3"/>
        <w:ind w:firstLine="480"/>
        <w:jc w:val="left"/>
      </w:pPr>
      <w:r>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b/>
          <w:sz w:val="24"/>
        </w:rPr>
        <w:t>4.3.3.资格审查</w:t>
      </w:r>
    </w:p>
    <w:p>
      <w:pPr>
        <w:pStyle w:val="null3"/>
        <w:ind w:firstLine="480"/>
        <w:jc w:val="left"/>
      </w:pPr>
      <w:r>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b/>
          <w:sz w:val="24"/>
        </w:rPr>
        <w:t>4.3.3.1.一般资格审查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供应商需在使用投标(响应)客户端编制响应文件时，按要求填写《投标（响应）函》完成承诺并进行电子签章。</w:t>
            </w:r>
          </w:p>
        </w:tc>
        <w:tc>
          <w:tcPr>
            <w:tcW w:type="dxa" w:w="1910"/>
          </w:tcPr>
          <w:p>
            <w:pPr>
              <w:pStyle w:val="null3"/>
              <w:jc w:val="left"/>
            </w:pPr>
            <w:r>
              <w:rPr/>
              <w:t>响应文件封面 投标（响应）函</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t>供应商应提交的相关证明材料 具有健全财务会计制度的证明材料 投标（响应）函</w:t>
            </w:r>
          </w:p>
        </w:tc>
      </w:tr>
      <w:tr>
        <w:tc>
          <w:tcPr>
            <w:tcW w:type="dxa" w:w="581"/>
          </w:tcPr>
          <w:p>
            <w:pPr>
              <w:pStyle w:val="null3"/>
              <w:jc w:val="center"/>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7</w:t>
            </w:r>
          </w:p>
        </w:tc>
        <w:tc>
          <w:tcPr>
            <w:tcW w:type="dxa" w:w="2492"/>
          </w:tcPr>
          <w:p>
            <w:pPr>
              <w:pStyle w:val="null3"/>
              <w:jc w:val="left"/>
            </w:pPr>
            <w:r>
              <w:rPr/>
              <w:t>不存在与单位负责人为同一人或者存在直接控股、管理关系的不同供应商不得参加同一合同项下的政府采购活动的行为。</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不属于为本项目提供整体设计、规范编制或者项目管理、监理、检测等服务的供应商。</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bl>
    <w:p>
      <w:pPr>
        <w:pStyle w:val="null3"/>
        <w:jc w:val="left"/>
        <w:outlineLvl w:val="3"/>
      </w:pPr>
      <w:r>
        <w:rPr>
          <w:b/>
          <w:sz w:val="24"/>
        </w:rPr>
        <w:t>4.3.3.2.落实政府采购政策资格审查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4"/>
          </w:tcPr>
          <w:p>
            <w:pPr>
              <w:pStyle w:val="null3"/>
              <w:jc w:val="left"/>
            </w:pPr>
            <w:r>
              <w:rPr/>
              <w:t xml:space="preserve"> 无</w:t>
            </w:r>
          </w:p>
        </w:tc>
      </w:tr>
    </w:tbl>
    <w:p>
      <w:pPr>
        <w:pStyle w:val="null3"/>
        <w:jc w:val="left"/>
        <w:outlineLvl w:val="3"/>
      </w:pPr>
      <w:r>
        <w:rPr>
          <w:b/>
          <w:sz w:val="24"/>
        </w:rPr>
        <w:t>4.3.3.3.特定资格审查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4"/>
          </w:tcPr>
          <w:p>
            <w:pPr>
              <w:pStyle w:val="null3"/>
              <w:jc w:val="left"/>
            </w:pPr>
            <w:r>
              <w:rPr/>
              <w:t xml:space="preserve"> 无</w:t>
            </w:r>
          </w:p>
        </w:tc>
      </w:tr>
    </w:tbl>
    <w:p>
      <w:pPr>
        <w:pStyle w:val="null3"/>
        <w:jc w:val="left"/>
        <w:outlineLvl w:val="3"/>
      </w:pPr>
      <w:r>
        <w:rPr>
          <w:b/>
          <w:sz w:val="24"/>
        </w:rPr>
        <w:t>4.3.4.符合性审查</w:t>
      </w:r>
    </w:p>
    <w:p>
      <w:pPr>
        <w:pStyle w:val="null3"/>
        <w:ind w:firstLine="480"/>
        <w:jc w:val="left"/>
      </w:pPr>
      <w:r>
        <w:rPr/>
        <w:t>询价小组依据本询价通知书的符合性审查要求，对符合资格要求供应商的响应文件有效性、完整性和响应程度进行审查。</w:t>
      </w:r>
    </w:p>
    <w:p>
      <w:pPr>
        <w:pStyle w:val="null3"/>
        <w:ind w:firstLine="480"/>
        <w:jc w:val="left"/>
      </w:pPr>
      <w:r>
        <w:rPr/>
        <w:t>在符合性审查过程中，如果出现询价小组成员意见不一致的情况，按照少数服从多数的原则确定，但不得违反政府采购基本原则和询价通知书规定。</w:t>
      </w:r>
    </w:p>
    <w:p>
      <w:pPr>
        <w:pStyle w:val="null3"/>
        <w:ind w:firstLine="480"/>
        <w:jc w:val="left"/>
      </w:pPr>
      <w:r>
        <w:rPr/>
        <w:t>符合性审查标准见下表：</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需要供应商进行承诺的实质性要求。</w:t>
            </w:r>
          </w:p>
        </w:tc>
        <w:tc>
          <w:tcPr>
            <w:tcW w:type="dxa" w:w="3322"/>
          </w:tcPr>
          <w:p>
            <w:pPr>
              <w:pStyle w:val="null3"/>
              <w:jc w:val="left"/>
            </w:pPr>
            <w:r>
              <w:rPr/>
              <w:t>无需供应商单独提供材料进行响应，只需供应商承诺严格遵守并执行的相关实质性要求。</w:t>
            </w:r>
          </w:p>
        </w:tc>
        <w:tc>
          <w:tcPr>
            <w:tcW w:type="dxa" w:w="1910"/>
          </w:tcPr>
          <w:p>
            <w:pPr>
              <w:pStyle w:val="null3"/>
              <w:jc w:val="left"/>
            </w:pPr>
            <w:r>
              <w:rPr/>
              <w:t>投标（响应）函</w:t>
            </w:r>
          </w:p>
        </w:tc>
      </w:tr>
      <w:tr>
        <w:tc>
          <w:tcPr>
            <w:tcW w:type="dxa" w:w="581"/>
          </w:tcPr>
          <w:p>
            <w:pPr>
              <w:pStyle w:val="null3"/>
              <w:jc w:val="center"/>
            </w:pPr>
            <w:r>
              <w:rPr/>
              <w:t>2</w:t>
            </w:r>
          </w:p>
        </w:tc>
        <w:tc>
          <w:tcPr>
            <w:tcW w:type="dxa" w:w="2492"/>
          </w:tcPr>
          <w:p>
            <w:pPr>
              <w:pStyle w:val="null3"/>
              <w:jc w:val="left"/>
            </w:pPr>
            <w:r>
              <w:rPr/>
              <w:t>强制采购产品要求。</w:t>
            </w:r>
          </w:p>
        </w:tc>
        <w:tc>
          <w:tcPr>
            <w:tcW w:type="dxa" w:w="3322"/>
          </w:tcPr>
          <w:p>
            <w:pPr>
              <w:pStyle w:val="null3"/>
              <w:jc w:val="left"/>
            </w:pPr>
            <w:r>
              <w:rPr/>
              <w:t>本项目中，智慧黑板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w:t>
            </w:r>
          </w:p>
        </w:tc>
        <w:tc>
          <w:tcPr>
            <w:tcW w:type="dxa" w:w="1910"/>
          </w:tcPr>
          <w:p>
            <w:pPr>
              <w:pStyle w:val="null3"/>
              <w:jc w:val="left"/>
            </w:pPr>
            <w:r>
              <w:rPr/>
              <w:t>投标（响应）函 供应商认为应提交的相关资料</w:t>
            </w:r>
          </w:p>
        </w:tc>
      </w:tr>
      <w:tr>
        <w:tc>
          <w:tcPr>
            <w:tcW w:type="dxa" w:w="581"/>
          </w:tcPr>
          <w:p>
            <w:pPr>
              <w:pStyle w:val="null3"/>
              <w:jc w:val="center"/>
            </w:pPr>
            <w:r>
              <w:rPr/>
              <w:t>3</w:t>
            </w:r>
          </w:p>
        </w:tc>
        <w:tc>
          <w:tcPr>
            <w:tcW w:type="dxa" w:w="2492"/>
          </w:tcPr>
          <w:p>
            <w:pPr>
              <w:pStyle w:val="null3"/>
              <w:jc w:val="left"/>
            </w:pPr>
            <w:r>
              <w:rPr/>
              <w:t>符合询价通知书的其他实质性要求。</w:t>
            </w:r>
          </w:p>
        </w:tc>
        <w:tc>
          <w:tcPr>
            <w:tcW w:type="dxa" w:w="3322"/>
          </w:tcPr>
          <w:p>
            <w:pPr>
              <w:pStyle w:val="null3"/>
              <w:jc w:val="left"/>
            </w:pPr>
            <w:r>
              <w:rPr/>
              <w:t>符合文件要求。</w:t>
            </w:r>
          </w:p>
        </w:tc>
        <w:tc>
          <w:tcPr>
            <w:tcW w:type="dxa" w:w="1910"/>
          </w:tcPr>
          <w:p>
            <w:pPr>
              <w:pStyle w:val="null3"/>
              <w:jc w:val="left"/>
            </w:pPr>
            <w:r>
              <w:rPr/>
              <w:t>响应文件封面 产品技术参数响应表 服务应答表 报价表 投标（响应）函 供应商认为应提交的相关资料</w:t>
            </w:r>
          </w:p>
        </w:tc>
      </w:tr>
    </w:tbl>
    <w:p>
      <w:pPr>
        <w:pStyle w:val="null3"/>
        <w:ind w:firstLine="480"/>
        <w:jc w:val="left"/>
      </w:pPr>
      <w:r>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b/>
          <w:sz w:val="24"/>
        </w:rPr>
        <w:t>4.3.5.解释、澄清、说明的有关问题</w:t>
      </w:r>
    </w:p>
    <w:p>
      <w:pPr>
        <w:pStyle w:val="null3"/>
        <w:ind w:firstLine="480"/>
        <w:jc w:val="left"/>
      </w:pPr>
      <w:r>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t>二、对响应文件中含义不明确、同类问题表述不一致或者有明显文字和计算错误的内容，询价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t>三、响应文件报价出现前后不一致的，除询价通知书另有规定外，按照下列规定修正：</w:t>
      </w:r>
    </w:p>
    <w:p>
      <w:pPr>
        <w:pStyle w:val="null3"/>
        <w:ind w:firstLine="480"/>
        <w:jc w:val="left"/>
      </w:pPr>
      <w:r>
        <w:rPr/>
        <w:t>（一）响应文件中报价表内容与响应文件中相应内容不一致的，以报价表为准；</w:t>
      </w:r>
    </w:p>
    <w:p>
      <w:pPr>
        <w:pStyle w:val="null3"/>
        <w:ind w:firstLine="480"/>
        <w:jc w:val="left"/>
      </w:pPr>
      <w:r>
        <w:rPr/>
        <w:t>（二）大写金额和小写金额不一致的，以大写金额为准；</w:t>
      </w:r>
    </w:p>
    <w:p>
      <w:pPr>
        <w:pStyle w:val="null3"/>
        <w:ind w:firstLine="480"/>
        <w:jc w:val="left"/>
      </w:pPr>
      <w:r>
        <w:rPr/>
        <w:t>（三）单价金额小数点或者百分比有明显错位的，以报价表总价为准，并修改单价；</w:t>
      </w:r>
    </w:p>
    <w:p>
      <w:pPr>
        <w:pStyle w:val="null3"/>
        <w:ind w:firstLine="480"/>
        <w:jc w:val="left"/>
      </w:pPr>
      <w:r>
        <w:rPr/>
        <w:t>（四）总价金额与按单价汇总金额不一致的，以单价金额计算结果为准。</w:t>
      </w:r>
    </w:p>
    <w:p>
      <w:pPr>
        <w:pStyle w:val="null3"/>
        <w:ind w:firstLine="480"/>
        <w:jc w:val="left"/>
      </w:pPr>
      <w:r>
        <w:rPr/>
        <w:t>同时出现两种以上不一致的，按照前款规定的顺序修正。修正后的报价经供应商确认后产生约束力，供应商不确认的，作无效响应处理。</w:t>
      </w:r>
    </w:p>
    <w:p>
      <w:pPr>
        <w:pStyle w:val="null3"/>
        <w:ind w:firstLine="480"/>
        <w:jc w:val="left"/>
      </w:pPr>
      <w:r>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b/>
          <w:sz w:val="24"/>
        </w:rPr>
        <w:t>4.3.6.询价小组复核</w:t>
      </w:r>
    </w:p>
    <w:p>
      <w:pPr>
        <w:pStyle w:val="null3"/>
        <w:ind w:firstLine="480"/>
        <w:jc w:val="left"/>
      </w:pPr>
      <w:r>
        <w:rPr/>
        <w:t>评审结束后，询价小组应当进行复核，特别要对拟推荐为成交候选供应商的、报价最低的、响应文件被认定为无效的进行重点复核。</w:t>
      </w:r>
    </w:p>
    <w:p>
      <w:pPr>
        <w:pStyle w:val="null3"/>
        <w:jc w:val="left"/>
        <w:outlineLvl w:val="3"/>
      </w:pPr>
      <w:r>
        <w:rPr>
          <w:b/>
          <w:sz w:val="24"/>
        </w:rPr>
        <w:t>4.3.7.代理机构现场复核评审结果</w:t>
      </w:r>
    </w:p>
    <w:p>
      <w:pPr>
        <w:pStyle w:val="null3"/>
        <w:ind w:firstLine="480"/>
        <w:jc w:val="left"/>
      </w:pPr>
      <w:r>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t>三、代理机构复核过程中，询价小组成员不得离开评审现场。</w:t>
      </w:r>
    </w:p>
    <w:p>
      <w:pPr>
        <w:pStyle w:val="null3"/>
        <w:ind w:firstLine="480"/>
        <w:jc w:val="left"/>
      </w:pPr>
      <w:r>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b/>
          <w:sz w:val="24"/>
        </w:rPr>
        <w:t>4.3.8.推荐成交候选供应商</w:t>
      </w:r>
    </w:p>
    <w:p>
      <w:pPr>
        <w:pStyle w:val="null3"/>
        <w:ind w:firstLine="480"/>
        <w:jc w:val="left"/>
      </w:pPr>
      <w:r>
        <w:rPr/>
        <w:t>采购包1：</w:t>
      </w:r>
      <w:r>
        <w:rPr/>
        <w:t>确定3名成交候选供应商。</w:t>
      </w:r>
    </w:p>
    <w:p>
      <w:pPr>
        <w:pStyle w:val="null3"/>
        <w:ind w:firstLine="480"/>
        <w:jc w:val="left"/>
      </w:pPr>
      <w:r>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w:t>
      </w:r>
    </w:p>
    <w:p>
      <w:pPr>
        <w:pStyle w:val="null3"/>
        <w:jc w:val="left"/>
        <w:outlineLvl w:val="3"/>
      </w:pPr>
      <w:r>
        <w:rPr>
          <w:b/>
          <w:sz w:val="24"/>
        </w:rPr>
        <w:t>4.3.9.出具询价报告</w:t>
      </w:r>
    </w:p>
    <w:p>
      <w:pPr>
        <w:pStyle w:val="null3"/>
        <w:ind w:firstLine="480"/>
        <w:jc w:val="left"/>
      </w:pPr>
      <w:r>
        <w:rPr/>
        <w:t>询价小组推荐成交候选供应商后，应向代理机构出具询价报告。询价报告应当包括以下主要内容：</w:t>
      </w:r>
    </w:p>
    <w:p>
      <w:pPr>
        <w:pStyle w:val="null3"/>
        <w:ind w:firstLine="480"/>
        <w:jc w:val="left"/>
      </w:pPr>
      <w:r>
        <w:rPr/>
        <w:t>一、邀请供应商参加采购活动的具体方式和相关情况，以及参加采购活动的供应商名单；</w:t>
      </w:r>
    </w:p>
    <w:p>
      <w:pPr>
        <w:pStyle w:val="null3"/>
        <w:ind w:firstLine="480"/>
        <w:jc w:val="left"/>
      </w:pPr>
      <w:r>
        <w:rPr/>
        <w:t>二、响应文件开启日期和地点，询价小组成员名单；</w:t>
      </w:r>
    </w:p>
    <w:p>
      <w:pPr>
        <w:pStyle w:val="null3"/>
        <w:ind w:firstLine="480"/>
        <w:jc w:val="left"/>
      </w:pPr>
      <w:r>
        <w:rPr/>
        <w:t>三、提交报价的供应商名单及报价情况，获取询价通知书但未提交报价的供应商名单；</w:t>
      </w:r>
    </w:p>
    <w:p>
      <w:pPr>
        <w:pStyle w:val="null3"/>
        <w:ind w:firstLine="480"/>
        <w:jc w:val="left"/>
      </w:pPr>
      <w:r>
        <w:rPr/>
        <w:t>四、评审情况记录和说明，包括对供应商的资格审查情况、供应商响应文件评审情况、询价采购活动情况、报价情况等；</w:t>
      </w:r>
    </w:p>
    <w:p>
      <w:pPr>
        <w:pStyle w:val="null3"/>
        <w:ind w:firstLine="480"/>
        <w:jc w:val="left"/>
      </w:pPr>
      <w:r>
        <w:rPr/>
        <w:t>五、推荐的成交候选供应商的排序名单及理由。</w:t>
      </w:r>
    </w:p>
    <w:p>
      <w:pPr>
        <w:pStyle w:val="null3"/>
        <w:ind w:firstLine="480"/>
        <w:jc w:val="left"/>
      </w:pPr>
      <w:r>
        <w:rPr/>
        <w:t>询价报告应当由询价小组全体人员签字或加盖电子印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印章又不说明其不同意见和理由的，视为同意询价报告。</w:t>
      </w:r>
    </w:p>
    <w:p>
      <w:pPr>
        <w:pStyle w:val="null3"/>
        <w:jc w:val="left"/>
        <w:outlineLvl w:val="3"/>
      </w:pPr>
      <w:r>
        <w:rPr>
          <w:b/>
          <w:sz w:val="24"/>
        </w:rPr>
        <w:t>4.3.10.询价争议处理规则</w:t>
      </w:r>
    </w:p>
    <w:p>
      <w:pPr>
        <w:pStyle w:val="null3"/>
        <w:ind w:firstLine="480"/>
        <w:jc w:val="left"/>
      </w:pPr>
      <w:r>
        <w:rPr/>
        <w:t>询价小组在询价过程中，对于资格审查、符合性审查、对供应商响应文件作无效处理及其他需要共同认定的事项存在争议的，应当以少数服从多数的原则作出结论，但不得违反法律法规和询价通知书规定。对询价报告有异议的，应当在询价报告上签署不同意见并说明理由，否则视为同意询价报告。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b/>
          <w:sz w:val="28"/>
        </w:rPr>
        <w:t>4.4.评审方法、细则及标准</w:t>
      </w:r>
    </w:p>
    <w:p>
      <w:pPr>
        <w:pStyle w:val="null3"/>
        <w:jc w:val="left"/>
      </w:pPr>
      <w:r>
        <w:rPr>
          <w:b/>
        </w:rPr>
        <w:t>4.4.1.评审方法</w:t>
      </w:r>
    </w:p>
    <w:p>
      <w:pPr>
        <w:pStyle w:val="null3"/>
        <w:ind w:firstLine="480"/>
        <w:jc w:val="left"/>
      </w:pPr>
      <w:r>
        <w:rPr/>
        <w:t>最低评标价法，是指响应文件满足询价通知书全部实质性要求且响应报价最低的供应商为成交候选供应商的评审方法。</w:t>
      </w:r>
    </w:p>
    <w:p>
      <w:pPr>
        <w:pStyle w:val="null3"/>
        <w:jc w:val="left"/>
      </w:pPr>
      <w:r>
        <w:rPr>
          <w:b/>
        </w:rPr>
        <w:t>4.4.2.评审细则及标准</w:t>
      </w:r>
    </w:p>
    <w:p>
      <w:pPr>
        <w:pStyle w:val="null3"/>
        <w:jc w:val="left"/>
      </w:pPr>
      <w:r>
        <w:rPr>
          <w:b/>
        </w:rPr>
        <w:t>价格扣除</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扣除比例%（以“C1”表示）</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left"/>
            </w:pPr>
            <w:r>
              <w:rPr/>
              <w:t>1</w:t>
            </w:r>
          </w:p>
        </w:tc>
        <w:tc>
          <w:tcPr>
            <w:tcW w:type="dxa" w:w="1661"/>
          </w:tcPr>
          <w:p>
            <w:pPr>
              <w:pStyle w:val="null3"/>
              <w:jc w:val="left"/>
            </w:pPr>
            <w:r>
              <w:rPr/>
              <w:t>落实支持中小企业发展政策</w:t>
            </w:r>
          </w:p>
        </w:tc>
        <w:tc>
          <w:tcPr>
            <w:tcW w:type="dxa" w:w="1661"/>
          </w:tcPr>
          <w:p>
            <w:pPr>
              <w:pStyle w:val="null3"/>
              <w:jc w:val="left"/>
            </w:pPr>
            <w:r>
              <w:rPr/>
              <w:t>符合《政府采购促进中小企业发展管理办法》（财库〔2020〕46号）规定的小微企业报价给予扣除，用扣除后的价格参加评审。</w:t>
            </w:r>
          </w:p>
        </w:tc>
        <w:tc>
          <w:tcPr>
            <w:tcW w:type="dxa" w:w="831"/>
          </w:tcPr>
          <w:p>
            <w:pPr>
              <w:pStyle w:val="null3"/>
              <w:jc w:val="right"/>
            </w:pPr>
            <w:r>
              <w:rPr/>
              <w:t>20.00%</w:t>
            </w:r>
          </w:p>
        </w:tc>
        <w:tc>
          <w:tcPr>
            <w:tcW w:type="dxa" w:w="1661"/>
          </w:tcPr>
          <w:p>
            <w:pPr>
              <w:pStyle w:val="null3"/>
              <w:jc w:val="left"/>
            </w:pPr>
            <w:r>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t>中小企业声明函 残疾人福利性单位声明函 报价表 监狱企业的证明文件</w:t>
            </w:r>
          </w:p>
        </w:tc>
      </w:tr>
    </w:tbl>
    <w:p>
      <w:pPr>
        <w:pStyle w:val="null3"/>
        <w:jc w:val="left"/>
      </w:pPr>
      <w:r>
        <w:rPr>
          <w:b/>
        </w:rPr>
        <w:t>价格评审</w:t>
      </w:r>
    </w:p>
    <w:p>
      <w:pPr>
        <w:pStyle w:val="null3"/>
        <w:jc w:val="left"/>
      </w:pPr>
      <w:r>
        <w:rPr/>
        <w:t>采购包1：</w:t>
      </w:r>
    </w:p>
    <w:p>
      <w:pPr>
        <w:pStyle w:val="null3"/>
        <w:jc w:val="left"/>
      </w:pPr>
      <w:r>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t xml:space="preserve"> 序号</w:t>
            </w:r>
          </w:p>
        </w:tc>
        <w:tc>
          <w:tcPr>
            <w:tcW w:type="dxa" w:w="1846"/>
          </w:tcPr>
          <w:p>
            <w:pPr>
              <w:pStyle w:val="null3"/>
              <w:jc w:val="center"/>
            </w:pPr>
            <w:r>
              <w:rPr/>
              <w:t xml:space="preserve"> 评审因素</w:t>
            </w:r>
          </w:p>
        </w:tc>
        <w:tc>
          <w:tcPr>
            <w:tcW w:type="dxa" w:w="923"/>
          </w:tcPr>
          <w:p>
            <w:pPr>
              <w:pStyle w:val="null3"/>
              <w:jc w:val="center"/>
            </w:pPr>
            <w:r>
              <w:rPr/>
              <w:t xml:space="preserve"> 评审价格权重</w:t>
            </w:r>
          </w:p>
        </w:tc>
        <w:tc>
          <w:tcPr>
            <w:tcW w:type="dxa" w:w="2769"/>
          </w:tcPr>
          <w:p>
            <w:pPr>
              <w:pStyle w:val="null3"/>
              <w:jc w:val="center"/>
            </w:pPr>
            <w:r>
              <w:rPr/>
              <w:t xml:space="preserve"> 具体标准和要求</w:t>
            </w:r>
          </w:p>
        </w:tc>
        <w:tc>
          <w:tcPr>
            <w:tcW w:type="dxa" w:w="2123"/>
          </w:tcPr>
          <w:p>
            <w:pPr>
              <w:pStyle w:val="null3"/>
              <w:jc w:val="center"/>
            </w:pPr>
            <w:r>
              <w:rPr>
                <w:b/>
              </w:rPr>
              <w:t xml:space="preserve"> 关联响应文件格式文本</w:t>
            </w:r>
          </w:p>
        </w:tc>
      </w:tr>
      <w:tr>
        <w:tc>
          <w:tcPr>
            <w:tcW w:type="dxa" w:w="646"/>
          </w:tcPr>
          <w:p>
            <w:pPr>
              <w:pStyle w:val="null3"/>
              <w:jc w:val="left"/>
            </w:pPr>
            <w:r>
              <w:rPr/>
              <w:t>1</w:t>
            </w:r>
          </w:p>
        </w:tc>
        <w:tc>
          <w:tcPr>
            <w:tcW w:type="dxa" w:w="1846"/>
          </w:tcPr>
          <w:p>
            <w:pPr>
              <w:pStyle w:val="null3"/>
              <w:jc w:val="left"/>
            </w:pPr>
            <w:r>
              <w:rPr/>
              <w:t>合计</w:t>
            </w:r>
          </w:p>
        </w:tc>
        <w:tc>
          <w:tcPr>
            <w:tcW w:type="dxa" w:w="923"/>
          </w:tcPr>
          <w:p>
            <w:pPr>
              <w:pStyle w:val="null3"/>
              <w:jc w:val="right"/>
            </w:pPr>
            <w:r>
              <w:rPr/>
              <w:t>100.00%</w:t>
            </w:r>
          </w:p>
        </w:tc>
        <w:tc>
          <w:tcPr>
            <w:tcW w:type="dxa" w:w="2769"/>
          </w:tcPr>
          <w:p>
            <w:pPr>
              <w:pStyle w:val="null3"/>
              <w:jc w:val="left"/>
            </w:pPr>
            <w:r>
              <w:rPr/>
              <w:t>1. 经谈判小组评审，通过资格和符合性审查，且响应报价最低的供应商的响应报价作为评审基准价。2.响应报价得分=(评审基准价／响应报价)×评审系数。评审价格=投标报价。经价格调整后的评审价格=投标报价×（1-价格调整比例）基准价=经价格调整后评审价格的最低值。</w:t>
            </w:r>
          </w:p>
        </w:tc>
        <w:tc>
          <w:tcPr>
            <w:tcW w:type="dxa" w:w="2123"/>
          </w:tcPr>
          <w:p>
            <w:pPr>
              <w:pStyle w:val="null3"/>
              <w:jc w:val="left"/>
            </w:pPr>
            <w:r>
              <w:rPr/>
              <w:t>报价表</w:t>
            </w:r>
          </w:p>
        </w:tc>
      </w:tr>
    </w:tbl>
    <w:p>
      <w:pPr>
        <w:pStyle w:val="null3"/>
        <w:jc w:val="left"/>
      </w:pPr>
      <w:r>
        <w:rPr>
          <w:b/>
        </w:rPr>
        <w:t>优先采购产品评审细则</w:t>
      </w:r>
    </w:p>
    <w:p>
      <w:pPr>
        <w:pStyle w:val="null3"/>
        <w:jc w:val="left"/>
      </w:pPr>
      <w:r>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关联响应文件格式文本</w:t>
            </w:r>
          </w:p>
        </w:tc>
      </w:tr>
      <w:tr>
        <w:tc>
          <w:tcPr>
            <w:tcW w:type="dxa" w:w="559"/>
          </w:tcPr>
          <w:p>
            <w:pPr>
              <w:pStyle w:val="null3"/>
              <w:jc w:val="left"/>
            </w:pPr>
            <w:r>
              <w:rPr/>
              <w:t>1</w:t>
            </w:r>
          </w:p>
        </w:tc>
        <w:tc>
          <w:tcPr>
            <w:tcW w:type="dxa" w:w="2396"/>
          </w:tcPr>
          <w:p>
            <w:pPr>
              <w:pStyle w:val="null3"/>
              <w:jc w:val="left"/>
            </w:pPr>
            <w:r>
              <w:rPr/>
              <w:t>优先采购环境标志产品</w:t>
            </w:r>
          </w:p>
        </w:tc>
        <w:tc>
          <w:tcPr>
            <w:tcW w:type="dxa" w:w="2396"/>
          </w:tcPr>
          <w:p>
            <w:pPr>
              <w:pStyle w:val="null3"/>
              <w:jc w:val="left"/>
            </w:pPr>
            <w:r>
              <w:rPr/>
              <w:t>符合文件要求。</w:t>
            </w:r>
          </w:p>
        </w:tc>
        <w:tc>
          <w:tcPr>
            <w:tcW w:type="dxa" w:w="2955"/>
          </w:tcPr>
          <w:p>
            <w:pPr>
              <w:pStyle w:val="null3"/>
              <w:jc w:val="left"/>
            </w:pPr>
            <w:r>
              <w:rPr/>
              <w:t>供应商认为应提交的相关资料</w:t>
            </w:r>
          </w:p>
        </w:tc>
      </w:tr>
    </w:tbl>
    <w:p>
      <w:pPr>
        <w:pStyle w:val="null3"/>
        <w:jc w:val="left"/>
        <w:outlineLvl w:val="2"/>
      </w:pPr>
      <w:r>
        <w:rPr>
          <w:b/>
          <w:sz w:val="28"/>
        </w:rPr>
        <w:t>4.5.终止采购活动</w:t>
      </w:r>
    </w:p>
    <w:p>
      <w:pPr>
        <w:pStyle w:val="null3"/>
        <w:ind w:firstLine="480"/>
        <w:jc w:val="left"/>
      </w:pPr>
      <w:r>
        <w:rPr/>
        <w:t>出现下列情形之一的，采购人或者代理机构应当终止询价采购活动，发布项目终止公告并说明原因，重新开展采购活动：</w:t>
      </w:r>
    </w:p>
    <w:p>
      <w:pPr>
        <w:pStyle w:val="null3"/>
        <w:ind w:firstLine="480"/>
        <w:jc w:val="left"/>
      </w:pPr>
      <w:r>
        <w:rPr/>
        <w:t>一、因情况变化，不再符合规定的询价采购方式适用情形的；</w:t>
      </w:r>
    </w:p>
    <w:p>
      <w:pPr>
        <w:pStyle w:val="null3"/>
        <w:ind w:firstLine="480"/>
        <w:jc w:val="left"/>
      </w:pPr>
      <w:r>
        <w:rPr/>
        <w:t>二、出现影响采购公正的违法、违规行为的；</w:t>
      </w:r>
    </w:p>
    <w:p>
      <w:pPr>
        <w:pStyle w:val="null3"/>
        <w:ind w:firstLine="480"/>
        <w:jc w:val="left"/>
      </w:pPr>
      <w:r>
        <w:rPr/>
        <w:t>三、在采购过程中符合竞争要求的供应商或者报价未超过采购预算的供应商不足3家。</w:t>
      </w:r>
    </w:p>
    <w:p>
      <w:pPr>
        <w:pStyle w:val="null3"/>
        <w:jc w:val="left"/>
        <w:outlineLvl w:val="2"/>
      </w:pPr>
      <w:r>
        <w:rPr>
          <w:b/>
          <w:sz w:val="28"/>
        </w:rPr>
        <w:t>4.6.确定成交供应商</w:t>
      </w:r>
    </w:p>
    <w:p>
      <w:pPr>
        <w:pStyle w:val="null3"/>
        <w:ind w:firstLine="480"/>
        <w:jc w:val="left"/>
      </w:pPr>
      <w:r>
        <w:rPr/>
        <w:t>一、代理机构在询价结束后2个工作日内将询价报告送采购人。</w:t>
      </w:r>
    </w:p>
    <w:p>
      <w:pPr>
        <w:pStyle w:val="null3"/>
        <w:jc w:val="left"/>
      </w:pPr>
      <w:r>
        <w:rPr/>
        <w:t>二、采购人应当自收到评审报告之日起5个工作日内，在询价报告确定的成交候选供应商名单中按顺序确定1名成交供应商。采购人逾期未确定成交供应商且不提出异议的，视为确定询价报告提出的排序第一的供应商为成交供应商。</w:t>
      </w:r>
    </w:p>
    <w:p>
      <w:pPr>
        <w:pStyle w:val="null3"/>
        <w:jc w:val="left"/>
      </w:pPr>
      <w:r>
        <w:rPr/>
        <w:t>三、采购人或者代理机构应当自成交供应商确定之日起 2 个工作日内，在四川政府采购网公告成交结果，询价通知书应当随成交结果同时公告。</w:t>
      </w:r>
    </w:p>
    <w:p>
      <w:pPr>
        <w:pStyle w:val="null3"/>
        <w:jc w:val="left"/>
        <w:outlineLvl w:val="2"/>
      </w:pPr>
      <w:r>
        <w:rPr>
          <w:b/>
          <w:sz w:val="28"/>
        </w:rPr>
        <w:t>4.7.询价小组义务</w:t>
      </w:r>
    </w:p>
    <w:p>
      <w:pPr>
        <w:pStyle w:val="null3"/>
        <w:ind w:firstLine="480"/>
        <w:jc w:val="left"/>
      </w:pPr>
      <w:r>
        <w:rPr/>
        <w:t>询价小组在政府采购活动中应当履行下列义务：</w:t>
      </w:r>
    </w:p>
    <w:p>
      <w:pPr>
        <w:pStyle w:val="null3"/>
        <w:ind w:firstLine="480"/>
        <w:jc w:val="left"/>
      </w:pPr>
      <w:r>
        <w:rPr/>
        <w:t>一、遵守评审工作纪律；</w:t>
      </w:r>
    </w:p>
    <w:p>
      <w:pPr>
        <w:pStyle w:val="null3"/>
        <w:ind w:firstLine="480"/>
        <w:jc w:val="left"/>
      </w:pPr>
      <w:r>
        <w:rPr/>
        <w:t>二、按照客观、公正、审慎的原则，根据询价通知书规定的评审程序、评审方法和评审标准进行独立评审；</w:t>
      </w:r>
    </w:p>
    <w:p>
      <w:pPr>
        <w:pStyle w:val="null3"/>
        <w:ind w:firstLine="480"/>
        <w:jc w:val="left"/>
      </w:pPr>
      <w:r>
        <w:rPr/>
        <w:t>三、不得泄露评审文件、评审情况和在评审过程中获悉的商业秘密；</w:t>
      </w:r>
    </w:p>
    <w:p>
      <w:pPr>
        <w:pStyle w:val="null3"/>
        <w:ind w:firstLine="480"/>
        <w:jc w:val="left"/>
      </w:pPr>
      <w:r>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jc w:val="left"/>
        <w:outlineLvl w:val="2"/>
      </w:pPr>
      <w:r>
        <w:rPr>
          <w:b/>
          <w:sz w:val="28"/>
        </w:rPr>
        <w:t>4.8.询价小组成员工作纪律</w:t>
      </w:r>
    </w:p>
    <w:p>
      <w:pPr>
        <w:pStyle w:val="null3"/>
        <w:ind w:firstLine="480"/>
        <w:jc w:val="left"/>
      </w:pPr>
      <w:r>
        <w:rPr/>
        <w:t>询价小组成员在政府采购活动中应当遵守下列工作纪律：</w:t>
      </w:r>
    </w:p>
    <w:p>
      <w:pPr>
        <w:pStyle w:val="null3"/>
        <w:ind w:firstLine="480"/>
        <w:jc w:val="left"/>
      </w:pPr>
      <w:r>
        <w:rPr/>
        <w:t>一、严格遵守政府采购法律制度关于询价小组成员回避的规定。</w:t>
      </w:r>
    </w:p>
    <w:p>
      <w:pPr>
        <w:pStyle w:val="null3"/>
        <w:ind w:firstLine="480"/>
        <w:jc w:val="left"/>
      </w:pPr>
      <w:r>
        <w:rPr/>
        <w:t>二、评审前，应当将通讯工具或者相关电子设备交由代理机构统一保管。</w:t>
      </w:r>
    </w:p>
    <w:p>
      <w:pPr>
        <w:pStyle w:val="null3"/>
        <w:ind w:firstLine="480"/>
        <w:jc w:val="left"/>
      </w:pPr>
      <w:r>
        <w:rPr/>
        <w:t>三、评审过程中，不得与外界联系，因发生不可预见情况，确实需要与外界联系的，应当在监督人员监督之下办理。</w:t>
      </w:r>
    </w:p>
    <w:p>
      <w:pPr>
        <w:pStyle w:val="null3"/>
        <w:ind w:firstLine="480"/>
        <w:jc w:val="left"/>
      </w:pPr>
      <w:r>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t>五、在评审过程中和评审结束后，不得记录、复制或带走任何评审资料，除因配合答复处理供应商的询问、质疑和投诉等事项外，不得向外界透露评审内容。</w:t>
      </w:r>
    </w:p>
    <w:p>
      <w:pPr>
        <w:pStyle w:val="null3"/>
        <w:ind w:firstLine="480"/>
        <w:jc w:val="left"/>
      </w:pPr>
      <w:r>
        <w:rPr/>
        <w:t>六、服从评审现场代理机构的现场秩序管理，接受评审现场监督人员的合法监督。</w:t>
      </w:r>
    </w:p>
    <w:p>
      <w:pPr>
        <w:pStyle w:val="null3"/>
        <w:ind w:firstLine="480"/>
        <w:jc w:val="left"/>
      </w:pPr>
      <w:r>
        <w:rPr/>
        <w:t>七、遵守有关廉洁自律规定，不得私下接触供应商，不得收受供应商及有关业务单位和个人的财物或好处，不得接受采购人、代理机构的请托。</w:t>
      </w:r>
    </w:p>
    <w:p>
      <w:pPr>
        <w:pStyle w:val="null3"/>
      </w:pPr>
      <w:r>
        <w:rPr/>
        <w:t xml:space="preserve"> </w:t>
        <w:br/>
        <w:br w:type="page"/>
      </w:r>
    </w:p>
    <w:p>
      <w:pPr>
        <w:pStyle w:val="null3"/>
        <w:jc w:val="center"/>
        <w:outlineLvl w:val="1"/>
      </w:pPr>
      <w:r>
        <w:rPr>
          <w:b/>
          <w:sz w:val="36"/>
        </w:rPr>
        <w:t>第五章 响应文件格式</w:t>
      </w:r>
    </w:p>
    <w:p>
      <w:pPr>
        <w:pStyle w:val="null3"/>
        <w:jc w:val="left"/>
      </w:pPr>
      <w:r>
        <w:rPr/>
        <w:t>采购包1：</w:t>
      </w:r>
    </w:p>
    <w:p>
      <w:pPr>
        <w:pStyle w:val="null3"/>
        <w:jc w:val="left"/>
      </w:pPr>
      <w:r>
        <w:rPr/>
        <w:t>分册名称：投标响应文件分册</w:t>
      </w:r>
    </w:p>
    <w:p>
      <w:pPr>
        <w:pStyle w:val="null3"/>
        <w:ind w:firstLine="960"/>
        <w:jc w:val="left"/>
      </w:pPr>
      <w:r>
        <w:rPr/>
        <w:t>详见附件：响应文件封面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详见附件：具有健全财务会计制度的证明材料</w:t>
      </w:r>
    </w:p>
    <w:p>
      <w:pPr>
        <w:pStyle w:val="null3"/>
        <w:ind w:firstLine="960"/>
        <w:jc w:val="left"/>
      </w:pPr>
      <w:r>
        <w:rPr/>
        <w:t>详见附件：供应商应提交的相关证明材料</w:t>
      </w:r>
    </w:p>
    <w:p>
      <w:pPr>
        <w:pStyle w:val="null3"/>
        <w:ind w:firstLine="960"/>
        <w:jc w:val="left"/>
      </w:pPr>
      <w:r>
        <w:rPr/>
        <w:t>详见附件：产品技术参数响应表</w:t>
      </w:r>
    </w:p>
    <w:p>
      <w:pPr>
        <w:pStyle w:val="null3"/>
        <w:ind w:firstLine="960"/>
        <w:jc w:val="left"/>
      </w:pPr>
      <w:r>
        <w:rPr/>
        <w:t>详见附件：服务应答表</w:t>
      </w:r>
    </w:p>
    <w:p>
      <w:pPr>
        <w:pStyle w:val="null3"/>
        <w:ind w:firstLine="960"/>
        <w:jc w:val="left"/>
      </w:pPr>
      <w:r>
        <w:rPr/>
        <w:t>详见附件：报价表</w:t>
      </w:r>
    </w:p>
    <w:p>
      <w:pPr>
        <w:pStyle w:val="null3"/>
        <w:ind w:firstLine="960"/>
        <w:jc w:val="left"/>
      </w:pPr>
      <w:r>
        <w:rPr/>
        <w:t>详见附件：供应商认为应提交的相关资料</w:t>
      </w:r>
    </w:p>
    <w:p>
      <w:pPr>
        <w:pStyle w:val="null3"/>
      </w:pPr>
      <w:r>
        <w:rPr/>
        <w:t xml:space="preserve"> </w:t>
        <w:br/>
        <w:br w:type="page"/>
      </w:r>
    </w:p>
    <w:p>
      <w:pPr>
        <w:pStyle w:val="null3"/>
        <w:jc w:val="center"/>
        <w:outlineLvl w:val="1"/>
      </w:pPr>
      <w:r>
        <w:rPr>
          <w:b/>
          <w:sz w:val="36"/>
        </w:rPr>
        <w:t>第六章 拟签订的合同文本</w:t>
      </w:r>
    </w:p>
    <w:p>
      <w:pPr>
        <w:pStyle w:val="null3"/>
        <w:jc w:val="left"/>
        <w:outlineLvl w:val="0"/>
      </w:pPr>
      <w:r>
        <w:rPr>
          <w:b/>
          <w:sz w:val="48"/>
        </w:rPr>
        <w:t xml:space="preserve"> 政府采购合同</w:t>
      </w:r>
    </w:p>
    <w:p>
      <w:pPr>
        <w:pStyle w:val="null3"/>
        <w:jc w:val="center"/>
        <w:outlineLvl w:val="0"/>
      </w:pPr>
      <w:r>
        <w:rPr>
          <w:b/>
          <w:sz w:val="48"/>
        </w:rPr>
        <w:t xml:space="preserve"> （货物类）</w:t>
      </w:r>
      <w:r>
        <w:br/>
      </w:r>
      <w:r>
        <w:br/>
      </w:r>
      <w:r>
        <w:br/>
      </w:r>
      <w:r>
        <w:br/>
      </w:r>
      <w:r>
        <w:br/>
      </w:r>
    </w:p>
    <w:p>
      <w:pPr>
        <w:pStyle w:val="null3"/>
        <w:ind w:left="1800"/>
        <w:jc w:val="left"/>
      </w:pPr>
      <w:r>
        <w:rPr>
          <w:b/>
          <w:sz w:val="27"/>
        </w:rPr>
        <w:t xml:space="preserve"> 政府采购合同编号：</w:t>
      </w:r>
      <w:r>
        <w:rPr>
          <w:b/>
          <w:sz w:val="27"/>
        </w:rPr>
        <w:t>__________________</w:t>
      </w:r>
    </w:p>
    <w:p>
      <w:pPr>
        <w:pStyle w:val="null3"/>
        <w:jc w:val="left"/>
      </w:pPr>
      <w:r>
        <w:rPr>
          <w:b/>
          <w:sz w:val="27"/>
        </w:rPr>
        <w:t xml:space="preserve"> 履约地点：</w:t>
      </w:r>
      <w:r>
        <w:rPr>
          <w:b/>
          <w:sz w:val="27"/>
        </w:rPr>
        <w:t>__________________</w:t>
      </w:r>
    </w:p>
    <w:p>
      <w:pPr>
        <w:pStyle w:val="null3"/>
        <w:jc w:val="left"/>
      </w:pPr>
      <w:r>
        <w:rPr>
          <w:b/>
          <w:sz w:val="27"/>
        </w:rPr>
        <w:t xml:space="preserve"> 签订地点：</w:t>
      </w:r>
      <w:r>
        <w:rPr>
          <w:b/>
          <w:sz w:val="27"/>
        </w:rPr>
        <w:t>__________________</w:t>
      </w:r>
    </w:p>
    <w:p>
      <w:pPr>
        <w:pStyle w:val="null3"/>
        <w:jc w:val="left"/>
      </w:pPr>
      <w:r>
        <w:rPr>
          <w:b/>
          <w:sz w:val="27"/>
        </w:rPr>
        <w:t xml:space="preserve"> 签订时间：</w:t>
      </w:r>
      <w:r>
        <w:rPr>
          <w:b/>
          <w:sz w:val="27"/>
        </w:rPr>
        <w:t>20___年___月___日</w:t>
      </w:r>
    </w:p>
    <w:p>
      <w:pPr>
        <w:pStyle w:val="null3"/>
        <w:jc w:val="left"/>
      </w:pPr>
      <w:r>
        <w:rPr>
          <w:b/>
          <w:sz w:val="27"/>
        </w:rPr>
        <w:t xml:space="preserve"> 采购人（甲方）：</w:t>
      </w:r>
      <w:r>
        <w:rPr>
          <w:b/>
          <w:sz w:val="27"/>
        </w:rPr>
        <w:t>__________________</w:t>
      </w:r>
    </w:p>
    <w:p>
      <w:pPr>
        <w:pStyle w:val="null3"/>
        <w:jc w:val="left"/>
      </w:pPr>
      <w:r>
        <w:rPr>
          <w:b/>
          <w:sz w:val="27"/>
        </w:rPr>
        <w:t xml:space="preserve"> 采购人地址：</w:t>
      </w:r>
      <w:r>
        <w:rPr>
          <w:b/>
          <w:sz w:val="27"/>
        </w:rPr>
        <w:t>__________________</w:t>
      </w:r>
    </w:p>
    <w:p>
      <w:pPr>
        <w:pStyle w:val="null3"/>
        <w:jc w:val="left"/>
      </w:pPr>
      <w:r>
        <w:rPr>
          <w:b/>
          <w:sz w:val="27"/>
        </w:rPr>
        <w:t xml:space="preserve"> 供应商(乙方)：__________________</w:t>
      </w:r>
    </w:p>
    <w:p>
      <w:pPr>
        <w:pStyle w:val="null3"/>
        <w:jc w:val="left"/>
      </w:pPr>
      <w:r>
        <w:rPr>
          <w:b/>
          <w:sz w:val="27"/>
        </w:rPr>
        <w:t xml:space="preserve"> 供应商地址：__________________</w:t>
      </w:r>
    </w:p>
    <w:p>
      <w:pPr>
        <w:pStyle w:val="null3"/>
        <w:jc w:val="left"/>
      </w:pPr>
      <w:r>
        <w:rPr/>
        <w:t xml:space="preserve"> </w:t>
      </w:r>
    </w:p>
    <w:p>
      <w:pPr>
        <w:pStyle w:val="null3"/>
        <w:jc w:val="left"/>
      </w:pPr>
      <w:r>
        <w:rPr/>
        <w:t xml:space="preserve"> 依据《中华人民共和国民法典》 《中华人民共和国政府采购法》与项目行业有关的法律法规，以及</w:t>
      </w:r>
      <w:r>
        <w:rPr/>
        <w:t>________</w:t>
      </w:r>
      <w:r>
        <w:rPr/>
        <w:t xml:space="preserve">采购项目的 </w:t>
      </w:r>
      <w:r>
        <w:rPr/>
        <w:t>《询价文件》</w:t>
      </w:r>
      <w:r>
        <w:rPr/>
        <w:t xml:space="preserve"> ，乙方的《投标（响应）文件》及《中标（成交）通知书》，甲乙双方同意签订本合同。具体情况及要求如下：</w:t>
      </w:r>
    </w:p>
    <w:p>
      <w:pPr>
        <w:pStyle w:val="null3"/>
        <w:jc w:val="left"/>
        <w:outlineLvl w:val="2"/>
      </w:pPr>
      <w:r>
        <w:rPr>
          <w:b/>
          <w:sz w:val="28"/>
        </w:rPr>
        <w:t xml:space="preserve"> 一、标的信息</w:t>
      </w:r>
    </w:p>
    <w:p>
      <w:pPr>
        <w:pStyle w:val="null3"/>
        <w:jc w:val="left"/>
      </w:pPr>
      <w:r>
        <w:br/>
      </w:r>
    </w:p>
    <w:p>
      <w:pPr>
        <w:pStyle w:val="null3"/>
        <w:jc w:val="left"/>
        <w:outlineLvl w:val="2"/>
      </w:pPr>
      <w:r>
        <w:rPr>
          <w:b/>
          <w:sz w:val="28"/>
        </w:rPr>
        <w:t xml:space="preserve"> 二、货物要求</w:t>
      </w:r>
    </w:p>
    <w:p>
      <w:pPr>
        <w:pStyle w:val="null3"/>
        <w:jc w:val="left"/>
      </w:pPr>
      <w:r>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jc w:val="left"/>
      </w:pPr>
      <w:r>
        <w:rPr/>
        <w:t>2.包装方式</w:t>
      </w:r>
    </w:p>
    <w:p>
      <w:pPr>
        <w:pStyle w:val="null3"/>
        <w:jc w:val="left"/>
      </w:pPr>
      <w:r>
        <w:rPr/>
        <w:t>3.质量保修范围和保修期</w:t>
      </w:r>
    </w:p>
    <w:p>
      <w:pPr>
        <w:pStyle w:val="null3"/>
        <w:jc w:val="left"/>
      </w:pPr>
      <w:r>
        <w:rPr/>
        <w:t>4. 其他要求</w:t>
      </w:r>
    </w:p>
    <w:p>
      <w:pPr>
        <w:pStyle w:val="null3"/>
        <w:jc w:val="left"/>
        <w:outlineLvl w:val="2"/>
      </w:pPr>
      <w:r>
        <w:rPr>
          <w:b/>
          <w:sz w:val="28"/>
        </w:rPr>
        <w:t xml:space="preserve"> 三、合同定价方式、付款进度和支付方式 </w:t>
      </w:r>
      <w:r>
        <w:rPr/>
        <w:t xml:space="preserve"> 合同定价方式：</w:t>
      </w:r>
    </w:p>
    <w:p>
      <w:pPr>
        <w:pStyle w:val="null3"/>
        <w:jc w:val="left"/>
      </w:pPr>
      <w:r>
        <w:br/>
      </w:r>
    </w:p>
    <w:p>
      <w:pPr>
        <w:pStyle w:val="null3"/>
        <w:jc w:val="left"/>
        <w:outlineLvl w:val="2"/>
      </w:pPr>
      <w:r>
        <w:rPr>
          <w:b/>
          <w:sz w:val="28"/>
        </w:rPr>
        <w:t xml:space="preserve"> 四、交货时间、地点和方式</w:t>
      </w:r>
    </w:p>
    <w:p>
      <w:pPr>
        <w:pStyle w:val="null3"/>
        <w:jc w:val="left"/>
      </w:pPr>
      <w:r>
        <w:br/>
      </w:r>
    </w:p>
    <w:p>
      <w:pPr>
        <w:pStyle w:val="null3"/>
        <w:jc w:val="left"/>
        <w:outlineLvl w:val="2"/>
      </w:pPr>
      <w:r>
        <w:rPr>
          <w:b/>
          <w:sz w:val="28"/>
        </w:rPr>
        <w:t xml:space="preserve"> 五、履约保证金</w:t>
      </w:r>
    </w:p>
    <w:p>
      <w:pPr>
        <w:pStyle w:val="null3"/>
        <w:jc w:val="left"/>
      </w:pPr>
      <w:r>
        <w:br/>
      </w:r>
    </w:p>
    <w:p>
      <w:pPr>
        <w:pStyle w:val="null3"/>
        <w:jc w:val="left"/>
        <w:outlineLvl w:val="2"/>
      </w:pPr>
      <w:r>
        <w:rPr>
          <w:b/>
          <w:sz w:val="28"/>
        </w:rPr>
        <w:t xml:space="preserve"> 六、验收标准和方法</w:t>
      </w:r>
    </w:p>
    <w:p>
      <w:pPr>
        <w:pStyle w:val="null3"/>
        <w:jc w:val="left"/>
      </w:pPr>
      <w:r>
        <w:br/>
      </w:r>
    </w:p>
    <w:p>
      <w:pPr>
        <w:pStyle w:val="null3"/>
        <w:jc w:val="left"/>
        <w:outlineLvl w:val="2"/>
      </w:pPr>
      <w:r>
        <w:rPr>
          <w:b/>
          <w:sz w:val="28"/>
        </w:rPr>
        <w:t xml:space="preserve"> 七、甲方的权利和义务</w:t>
      </w:r>
    </w:p>
    <w:p>
      <w:pPr>
        <w:pStyle w:val="null3"/>
        <w:jc w:val="left"/>
      </w:pPr>
      <w:r>
        <w:rPr/>
        <w:t>1.甲方有权依据双方签订的合同对乙方提供的货物进行验收。当验收结果未达到标准时，有权依据合同约定对乙方......</w:t>
      </w:r>
    </w:p>
    <w:p>
      <w:pPr>
        <w:pStyle w:val="null3"/>
        <w:jc w:val="left"/>
      </w:pPr>
      <w:r>
        <w:rPr/>
        <w:t>2.根据本合同规定，按时向乙方支付应付货物费用。</w:t>
      </w:r>
    </w:p>
    <w:p>
      <w:pPr>
        <w:pStyle w:val="null3"/>
        <w:jc w:val="left"/>
      </w:pPr>
      <w:r>
        <w:rPr/>
        <w:t>3.国家法律、法规所规定由甲方承担的其它责任。</w:t>
      </w:r>
    </w:p>
    <w:p>
      <w:pPr>
        <w:pStyle w:val="null3"/>
        <w:jc w:val="left"/>
        <w:outlineLvl w:val="2"/>
      </w:pPr>
      <w:r>
        <w:rPr>
          <w:b/>
          <w:sz w:val="28"/>
        </w:rPr>
        <w:t xml:space="preserve"> 八、乙方的权利和义务</w:t>
      </w:r>
    </w:p>
    <w:p>
      <w:pPr>
        <w:pStyle w:val="null3"/>
        <w:jc w:val="left"/>
      </w:pPr>
      <w:r>
        <w:rPr/>
        <w:t>1.根据本合同的规定向甲方收取相关货物费用。</w:t>
      </w:r>
    </w:p>
    <w:p>
      <w:pPr>
        <w:pStyle w:val="null3"/>
        <w:jc w:val="left"/>
      </w:pPr>
      <w:r>
        <w:rPr/>
        <w:t>2.接受项目行业管理部门及政府有关部门的指导，接受甲方的监督。</w:t>
      </w:r>
    </w:p>
    <w:p>
      <w:pPr>
        <w:pStyle w:val="null3"/>
        <w:jc w:val="left"/>
      </w:pPr>
      <w:r>
        <w:rPr/>
        <w:t>3.乙方承诺遵守《中华人民共和国劳动合同法》有关规定和《中华人民共和国妇女权益保障法》中关于“劳动和社会保障权益”的有关要求。</w:t>
      </w:r>
    </w:p>
    <w:p>
      <w:pPr>
        <w:pStyle w:val="null3"/>
        <w:jc w:val="left"/>
      </w:pPr>
      <w:r>
        <w:rPr/>
        <w:t>4.国家法律、法规所规定由乙方承担的其它责任。</w:t>
      </w:r>
    </w:p>
    <w:p>
      <w:pPr>
        <w:pStyle w:val="null3"/>
        <w:jc w:val="left"/>
        <w:outlineLvl w:val="2"/>
      </w:pPr>
      <w:r>
        <w:rPr>
          <w:b/>
          <w:sz w:val="28"/>
        </w:rPr>
        <w:t xml:space="preserve"> 九、违约责任</w:t>
      </w:r>
    </w:p>
    <w:p>
      <w:pPr>
        <w:pStyle w:val="null3"/>
        <w:jc w:val="left"/>
      </w:pPr>
      <w:r>
        <w:br/>
      </w:r>
    </w:p>
    <w:p>
      <w:pPr>
        <w:pStyle w:val="null3"/>
        <w:jc w:val="left"/>
        <w:outlineLvl w:val="2"/>
      </w:pPr>
      <w:r>
        <w:rPr>
          <w:b/>
          <w:sz w:val="28"/>
        </w:rPr>
        <w:t xml:space="preserve"> 十、不可抗事件处理</w:t>
      </w:r>
    </w:p>
    <w:p>
      <w:pPr>
        <w:pStyle w:val="null3"/>
        <w:jc w:val="left"/>
      </w:pPr>
      <w:r>
        <w:rPr/>
        <w:t>1.在合同有效期内，任何一方因战争、洪灾、台风、地震等不可抗力事件导致不能履行合同，则合同履行期可延长，其延长期与不可抗力事件影响期相同。</w:t>
      </w:r>
    </w:p>
    <w:p>
      <w:pPr>
        <w:pStyle w:val="null3"/>
        <w:jc w:val="left"/>
      </w:pPr>
      <w:r>
        <w:rPr/>
        <w:t>2.受阻一方应在不可抗事件发生后尽快用电话通知对方并于事故发生后XX天内将有关部门出具的证明文件等用特快专递或挂号信寄给对方审阅确认。</w:t>
      </w:r>
    </w:p>
    <w:p>
      <w:pPr>
        <w:pStyle w:val="null3"/>
        <w:jc w:val="left"/>
      </w:pPr>
      <w:r>
        <w:rPr/>
        <w:t>3.不可抗事件延续XX天以上，双方应通过友好协商，确定是否继续履行合同。</w:t>
      </w:r>
    </w:p>
    <w:p>
      <w:pPr>
        <w:pStyle w:val="null3"/>
        <w:jc w:val="left"/>
        <w:outlineLvl w:val="2"/>
      </w:pPr>
      <w:r>
        <w:rPr>
          <w:b/>
          <w:sz w:val="28"/>
        </w:rPr>
        <w:t xml:space="preserve"> 十一、解决合同纠纷的方式</w:t>
      </w:r>
    </w:p>
    <w:p>
      <w:pPr>
        <w:pStyle w:val="null3"/>
        <w:jc w:val="left"/>
      </w:pPr>
      <w:r>
        <w:br/>
      </w:r>
    </w:p>
    <w:p>
      <w:pPr>
        <w:pStyle w:val="null3"/>
        <w:jc w:val="left"/>
        <w:outlineLvl w:val="2"/>
      </w:pPr>
      <w:r>
        <w:rPr>
          <w:b/>
          <w:sz w:val="28"/>
        </w:rPr>
        <w:t xml:space="preserve"> 十二、合同生效及其他</w:t>
      </w:r>
    </w:p>
    <w:p>
      <w:pPr>
        <w:pStyle w:val="null3"/>
        <w:jc w:val="left"/>
      </w:pPr>
      <w:r>
        <w:rPr/>
        <w:t>1.合同经双方法定代表人（或主要负责人）或授权委托代理人签字并加盖公章后生效。</w:t>
      </w:r>
    </w:p>
    <w:p>
      <w:pPr>
        <w:pStyle w:val="null3"/>
        <w:jc w:val="left"/>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t xml:space="preserve"> 甲方： （盖章）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r>
        <w:rPr/>
        <w:t xml:space="preserve"> 乙方：(盖章）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