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pacing w:line="560" w:lineRule="exact"/>
        <w:jc w:val="left"/>
        <w:textAlignment w:val="auto"/>
        <w:outlineLvl w:val="0"/>
        <w:rPr>
          <w:rFonts w:ascii="方正小标宋简体" w:hAnsi="宋体" w:eastAsia="方正小标宋简体"/>
          <w:szCs w:val="21"/>
        </w:rPr>
      </w:pPr>
      <w:bookmarkStart w:id="0" w:name="_Toc15306267"/>
    </w:p>
    <w:p>
      <w:pPr>
        <w:pStyle w:val="2"/>
        <w:pageBreakBefore w:val="0"/>
        <w:kinsoku/>
        <w:wordWrap/>
        <w:overflowPunct/>
        <w:topLinePunct w:val="0"/>
        <w:bidi w:val="0"/>
        <w:spacing w:before="93" w:line="560" w:lineRule="exact"/>
        <w:textAlignment w:val="auto"/>
      </w:pPr>
    </w:p>
    <w:p>
      <w:pPr>
        <w:pageBreakBefore w:val="0"/>
        <w:kinsoku/>
        <w:wordWrap/>
        <w:overflowPunct/>
        <w:topLinePunct w:val="0"/>
        <w:bidi w:val="0"/>
        <w:spacing w:line="560" w:lineRule="exact"/>
        <w:jc w:val="center"/>
        <w:textAlignment w:val="auto"/>
        <w:outlineLvl w:val="0"/>
        <w:rPr>
          <w:rFonts w:ascii="方正小标宋简体" w:hAnsi="宋体" w:eastAsia="方正小标宋简体"/>
          <w:sz w:val="72"/>
          <w:szCs w:val="72"/>
        </w:rPr>
      </w:pPr>
    </w:p>
    <w:p>
      <w:pPr>
        <w:pageBreakBefore w:val="0"/>
        <w:kinsoku/>
        <w:wordWrap/>
        <w:overflowPunct/>
        <w:topLinePunct w:val="0"/>
        <w:bidi w:val="0"/>
        <w:spacing w:line="560" w:lineRule="exact"/>
        <w:jc w:val="center"/>
        <w:textAlignment w:val="auto"/>
        <w:outlineLvl w:val="0"/>
        <w:rPr>
          <w:rFonts w:ascii="方正小标宋简体" w:hAnsi="宋体" w:eastAsia="方正小标宋简体"/>
          <w:sz w:val="72"/>
          <w:szCs w:val="72"/>
        </w:rPr>
      </w:pPr>
    </w:p>
    <w:p>
      <w:pPr>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outlineLvl w:val="0"/>
        <w:rPr>
          <w:rFonts w:ascii="方正小标宋简体" w:hAnsi="方正小标宋简体" w:eastAsia="方正小标宋简体" w:cs="方正小标宋简体"/>
          <w:sz w:val="72"/>
          <w:szCs w:val="72"/>
        </w:rPr>
      </w:pPr>
      <w:bookmarkStart w:id="1" w:name="_Toc15396597"/>
      <w:bookmarkStart w:id="2" w:name="_Toc15396475"/>
      <w:bookmarkStart w:id="3" w:name="_Toc15377425"/>
      <w:bookmarkStart w:id="4" w:name="_Toc15378441"/>
      <w:bookmarkStart w:id="5" w:name="_Toc15377193"/>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p>
    <w:p>
      <w:pPr>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outlineLvl w:val="0"/>
        <w:rPr>
          <w:rFonts w:ascii="方正小标宋简体" w:hAnsi="方正小标宋简体" w:eastAsia="方正小标宋简体" w:cs="方正小标宋简体"/>
          <w:sz w:val="72"/>
          <w:szCs w:val="72"/>
        </w:rPr>
      </w:pPr>
      <w:bookmarkStart w:id="6" w:name="_Toc15377194"/>
      <w:bookmarkStart w:id="7" w:name="_Toc15396476"/>
      <w:bookmarkStart w:id="8" w:name="_Toc15396598"/>
      <w:bookmarkStart w:id="9" w:name="_Toc15377426"/>
      <w:bookmarkStart w:id="10" w:name="_Toc15378442"/>
      <w:r>
        <w:rPr>
          <w:rFonts w:hint="eastAsia" w:ascii="方正小标宋简体" w:hAnsi="方正小标宋简体" w:eastAsia="方正小标宋简体" w:cs="方正小标宋简体"/>
          <w:sz w:val="72"/>
          <w:szCs w:val="72"/>
        </w:rPr>
        <w:t>四川省</w:t>
      </w:r>
      <w:bookmarkEnd w:id="0"/>
      <w:bookmarkStart w:id="11" w:name="_Toc15306268"/>
      <w:r>
        <w:rPr>
          <w:rFonts w:hint="eastAsia" w:ascii="方正小标宋简体" w:hAnsi="方正小标宋简体" w:eastAsia="方正小标宋简体" w:cs="方正小标宋简体"/>
          <w:sz w:val="72"/>
          <w:szCs w:val="72"/>
          <w:lang w:val="en-US" w:eastAsia="zh-CN"/>
        </w:rPr>
        <w:t>巴中市巴州区机关事务服务中心</w:t>
      </w:r>
      <w:r>
        <w:rPr>
          <w:rFonts w:hint="eastAsia" w:ascii="方正小标宋简体" w:hAnsi="方正小标宋简体" w:eastAsia="方正小标宋简体" w:cs="方正小标宋简体"/>
          <w:sz w:val="72"/>
          <w:szCs w:val="72"/>
        </w:rPr>
        <w:t>决算</w:t>
      </w:r>
      <w:bookmarkEnd w:id="6"/>
      <w:bookmarkEnd w:id="7"/>
      <w:bookmarkEnd w:id="8"/>
      <w:bookmarkEnd w:id="9"/>
      <w:bookmarkEnd w:id="10"/>
      <w:bookmarkEnd w:id="11"/>
    </w:p>
    <w:p>
      <w:pPr>
        <w:pageBreakBefore w:val="0"/>
        <w:widowControl/>
        <w:kinsoku/>
        <w:wordWrap/>
        <w:overflowPunct/>
        <w:topLinePunct w:val="0"/>
        <w:bidi w:val="0"/>
        <w:spacing w:line="560" w:lineRule="exact"/>
        <w:jc w:val="center"/>
        <w:textAlignment w:val="auto"/>
        <w:rPr>
          <w:rFonts w:hint="eastAsia" w:ascii="黑体" w:hAnsi="黑体" w:eastAsia="黑体"/>
          <w:sz w:val="48"/>
          <w:szCs w:val="48"/>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Pr>
        <w:pageBreakBefore w:val="0"/>
        <w:widowControl/>
        <w:kinsoku/>
        <w:wordWrap/>
        <w:overflowPunct/>
        <w:topLinePunct w:val="0"/>
        <w:bidi w:val="0"/>
        <w:spacing w:line="560" w:lineRule="exact"/>
        <w:jc w:val="center"/>
        <w:textAlignment w:val="auto"/>
        <w:rPr>
          <w:rFonts w:ascii="黑体" w:hAnsi="黑体" w:eastAsia="黑体"/>
          <w:sz w:val="48"/>
          <w:szCs w:val="48"/>
        </w:rPr>
      </w:pPr>
      <w:r>
        <w:rPr>
          <w:rFonts w:hint="eastAsia" w:ascii="黑体" w:hAnsi="黑体" w:eastAsia="黑体"/>
          <w:sz w:val="48"/>
          <w:szCs w:val="48"/>
        </w:rPr>
        <w:t>目录</w:t>
      </w:r>
    </w:p>
    <w:p>
      <w:pPr>
        <w:pageBreakBefore w:val="0"/>
        <w:widowControl/>
        <w:kinsoku/>
        <w:wordWrap/>
        <w:overflowPunct/>
        <w:topLinePunct w:val="0"/>
        <w:bidi w:val="0"/>
        <w:spacing w:line="560" w:lineRule="exact"/>
        <w:jc w:val="center"/>
        <w:textAlignment w:val="auto"/>
        <w:rPr>
          <w:rFonts w:ascii="黑体" w:hAnsi="黑体" w:eastAsia="黑体" w:cstheme="minorBidi"/>
          <w:sz w:val="28"/>
          <w:szCs w:val="28"/>
        </w:rPr>
      </w:pPr>
    </w:p>
    <w:p>
      <w:pPr>
        <w:pStyle w:val="11"/>
        <w:pageBreakBefore w:val="0"/>
        <w:kinsoku/>
        <w:wordWrap/>
        <w:overflowPunct/>
        <w:topLinePunct w:val="0"/>
        <w:bidi w:val="0"/>
        <w:spacing w:line="560" w:lineRule="exact"/>
        <w:textAlignment w:val="auto"/>
        <w:rPr>
          <w:highlight w:val="yellow"/>
        </w:rPr>
      </w:pPr>
      <w:r>
        <w:rPr>
          <w:rFonts w:hint="eastAsia"/>
        </w:rPr>
        <w:t>公开时间：202</w:t>
      </w:r>
      <w:r>
        <w:rPr>
          <w:rFonts w:hint="eastAsia"/>
          <w:lang w:val="en-US" w:eastAsia="zh-CN"/>
        </w:rPr>
        <w:t>4</w:t>
      </w:r>
      <w:r>
        <w:rPr>
          <w:rFonts w:hint="eastAsia"/>
        </w:rPr>
        <w:t>年</w:t>
      </w:r>
      <w:r>
        <w:rPr>
          <w:rFonts w:hint="eastAsia"/>
          <w:highlight w:val="none"/>
          <w:lang w:val="en-US" w:eastAsia="zh-CN"/>
        </w:rPr>
        <w:t>11</w:t>
      </w:r>
      <w:r>
        <w:rPr>
          <w:rFonts w:hint="eastAsia"/>
          <w:highlight w:val="none"/>
        </w:rPr>
        <w:t>月</w:t>
      </w:r>
      <w:r>
        <w:rPr>
          <w:rFonts w:hint="eastAsia"/>
          <w:highlight w:val="none"/>
          <w:lang w:val="en-US" w:eastAsia="zh-CN"/>
        </w:rPr>
        <w:t>05</w:t>
      </w:r>
      <w:r>
        <w:rPr>
          <w:rFonts w:hint="eastAsia"/>
          <w:highlight w:val="none"/>
        </w:rPr>
        <w:t>日</w:t>
      </w:r>
    </w:p>
    <w:p>
      <w:pPr>
        <w:pageBreakBefore w:val="0"/>
        <w:kinsoku/>
        <w:wordWrap/>
        <w:overflowPunct/>
        <w:topLinePunct w:val="0"/>
        <w:bidi w:val="0"/>
        <w:spacing w:line="560" w:lineRule="exact"/>
        <w:textAlignment w:val="auto"/>
      </w:pPr>
      <w:bookmarkStart w:id="63" w:name="_GoBack"/>
      <w:bookmarkEnd w:id="63"/>
    </w:p>
    <w:p>
      <w:pPr>
        <w:pStyle w:val="11"/>
        <w:pageBreakBefore w:val="0"/>
        <w:kinsoku/>
        <w:wordWrap/>
        <w:overflowPunct/>
        <w:topLinePunct w:val="0"/>
        <w:bidi w:val="0"/>
        <w:adjustRightInd w:val="0"/>
        <w:snapToGrid w:val="0"/>
        <w:spacing w:before="0" w:line="560" w:lineRule="exact"/>
        <w:jc w:val="left"/>
        <w:textAlignment w:val="auto"/>
        <w:rPr>
          <w:rFonts w:hint="default" w:eastAsia="方正小标宋_GBK" w:cstheme="minorBidi"/>
          <w:sz w:val="32"/>
          <w:szCs w:val="32"/>
          <w:lang w:val="en-US" w:eastAsia="zh-CN"/>
        </w:rPr>
      </w:pPr>
      <w:r>
        <w:rPr>
          <w:rFonts w:hint="eastAsia"/>
          <w:sz w:val="32"/>
          <w:szCs w:val="32"/>
        </w:rPr>
        <w:t>第一部分</w:t>
      </w:r>
      <w:r>
        <w:rPr>
          <w:sz w:val="32"/>
          <w:szCs w:val="32"/>
        </w:rPr>
        <w:t xml:space="preserve"> </w:t>
      </w:r>
      <w:r>
        <w:rPr>
          <w:rFonts w:hint="eastAsia"/>
          <w:sz w:val="32"/>
          <w:szCs w:val="32"/>
        </w:rPr>
        <w:t>单位概况</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01</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一、主要职责</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01</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二、机构设置</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02</w:t>
      </w:r>
    </w:p>
    <w:p>
      <w:pPr>
        <w:pStyle w:val="11"/>
        <w:pageBreakBefore w:val="0"/>
        <w:kinsoku/>
        <w:wordWrap/>
        <w:overflowPunct/>
        <w:topLinePunct w:val="0"/>
        <w:bidi w:val="0"/>
        <w:adjustRightInd w:val="0"/>
        <w:snapToGrid w:val="0"/>
        <w:spacing w:before="0" w:line="560" w:lineRule="exact"/>
        <w:jc w:val="left"/>
        <w:textAlignment w:val="auto"/>
        <w:rPr>
          <w:rFonts w:hint="default" w:eastAsia="方正小标宋_GBK"/>
          <w:sz w:val="32"/>
          <w:szCs w:val="32"/>
          <w:lang w:val="en-US" w:eastAsia="zh-CN"/>
        </w:rPr>
      </w:pPr>
      <w:r>
        <w:rPr>
          <w:rFonts w:hint="eastAsia"/>
          <w:sz w:val="32"/>
          <w:szCs w:val="32"/>
        </w:rPr>
        <w:t>第二部分 2023年度单位决算情况说明</w:t>
      </w:r>
      <w:r>
        <w:rPr>
          <w:rFonts w:hint="eastAsia" w:ascii="方正小标宋_GBK" w:hAnsi="方正小标宋_GBK" w:eastAsia="方正小标宋_GBK" w:cs="方正小标宋_GBK"/>
          <w:spacing w:val="-11"/>
          <w:sz w:val="32"/>
          <w:szCs w:val="32"/>
        </w:rPr>
        <w:t>……………………</w:t>
      </w:r>
      <w:r>
        <w:rPr>
          <w:rFonts w:hint="eastAsia" w:ascii="方正小标宋_GBK" w:hAnsi="方正小标宋_GBK" w:eastAsia="方正小标宋_GBK" w:cs="方正小标宋_GBK"/>
          <w:spacing w:val="-11"/>
          <w:sz w:val="32"/>
          <w:szCs w:val="32"/>
          <w:lang w:val="en-US" w:eastAsia="zh-CN"/>
        </w:rPr>
        <w:t>03</w:t>
      </w:r>
    </w:p>
    <w:p>
      <w:pPr>
        <w:pStyle w:val="12"/>
        <w:pageBreakBefore w:val="0"/>
        <w:kinsoku/>
        <w:wordWrap/>
        <w:overflowPunct/>
        <w:topLinePunct w:val="0"/>
        <w:bidi w:val="0"/>
        <w:adjustRightInd w:val="0"/>
        <w:snapToGrid w:val="0"/>
        <w:spacing w:line="560" w:lineRule="exact"/>
        <w:jc w:val="left"/>
        <w:textAlignment w:val="auto"/>
        <w:rPr>
          <w:rFonts w:hint="default" w:ascii="仿宋" w:hAnsi="仿宋" w:eastAsia="方正小标宋_GBK" w:cstheme="minorBidi"/>
          <w:sz w:val="32"/>
          <w:szCs w:val="32"/>
          <w:lang w:val="en-US" w:eastAsia="zh-CN"/>
        </w:rPr>
      </w:pPr>
      <w:r>
        <w:rPr>
          <w:rFonts w:hint="eastAsia"/>
          <w:sz w:val="32"/>
          <w:szCs w:val="32"/>
        </w:rPr>
        <w:t>一、收入支出决算总体情况说明</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03</w:t>
      </w:r>
    </w:p>
    <w:p>
      <w:pPr>
        <w:pStyle w:val="12"/>
        <w:pageBreakBefore w:val="0"/>
        <w:kinsoku/>
        <w:wordWrap/>
        <w:overflowPunct/>
        <w:topLinePunct w:val="0"/>
        <w:bidi w:val="0"/>
        <w:adjustRightInd w:val="0"/>
        <w:snapToGrid w:val="0"/>
        <w:spacing w:line="560" w:lineRule="exact"/>
        <w:jc w:val="left"/>
        <w:textAlignment w:val="auto"/>
        <w:rPr>
          <w:rFonts w:hint="default" w:ascii="仿宋" w:hAnsi="仿宋" w:eastAsia="方正小标宋_GBK" w:cstheme="minorBidi"/>
          <w:sz w:val="32"/>
          <w:szCs w:val="32"/>
          <w:lang w:val="en-US" w:eastAsia="zh-CN"/>
        </w:rPr>
      </w:pPr>
      <w:r>
        <w:rPr>
          <w:rFonts w:hint="eastAsia"/>
          <w:sz w:val="32"/>
          <w:szCs w:val="32"/>
        </w:rPr>
        <w:t>二、收入决算情况说明</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03</w:t>
      </w:r>
    </w:p>
    <w:p>
      <w:pPr>
        <w:pStyle w:val="12"/>
        <w:pageBreakBefore w:val="0"/>
        <w:kinsoku/>
        <w:wordWrap/>
        <w:overflowPunct/>
        <w:topLinePunct w:val="0"/>
        <w:bidi w:val="0"/>
        <w:adjustRightInd w:val="0"/>
        <w:snapToGrid w:val="0"/>
        <w:spacing w:line="560" w:lineRule="exact"/>
        <w:jc w:val="left"/>
        <w:textAlignment w:val="auto"/>
        <w:rPr>
          <w:rFonts w:hint="default" w:ascii="仿宋" w:hAnsi="仿宋" w:eastAsia="方正小标宋_GBK" w:cstheme="minorBidi"/>
          <w:sz w:val="32"/>
          <w:szCs w:val="32"/>
          <w:lang w:val="en-US" w:eastAsia="zh-CN"/>
        </w:rPr>
      </w:pPr>
      <w:r>
        <w:rPr>
          <w:rFonts w:hint="eastAsia"/>
          <w:sz w:val="32"/>
          <w:szCs w:val="32"/>
        </w:rPr>
        <w:t>三、支出决算情况说明</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04</w:t>
      </w:r>
    </w:p>
    <w:p>
      <w:pPr>
        <w:pStyle w:val="12"/>
        <w:pageBreakBefore w:val="0"/>
        <w:kinsoku/>
        <w:wordWrap/>
        <w:overflowPunct/>
        <w:topLinePunct w:val="0"/>
        <w:bidi w:val="0"/>
        <w:adjustRightInd w:val="0"/>
        <w:snapToGrid w:val="0"/>
        <w:spacing w:line="560" w:lineRule="exact"/>
        <w:jc w:val="left"/>
        <w:textAlignment w:val="auto"/>
        <w:rPr>
          <w:rFonts w:hint="default" w:ascii="仿宋" w:hAnsi="仿宋" w:eastAsia="方正小标宋_GBK" w:cstheme="minorBidi"/>
          <w:sz w:val="32"/>
          <w:szCs w:val="32"/>
          <w:lang w:val="en-US" w:eastAsia="zh-CN"/>
        </w:rPr>
      </w:pPr>
      <w:r>
        <w:rPr>
          <w:rFonts w:hint="eastAsia"/>
          <w:sz w:val="32"/>
          <w:szCs w:val="32"/>
        </w:rPr>
        <w:t>四、财政拨款收入支出决算总体情况说明</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05</w:t>
      </w:r>
    </w:p>
    <w:p>
      <w:pPr>
        <w:pStyle w:val="12"/>
        <w:pageBreakBefore w:val="0"/>
        <w:kinsoku/>
        <w:wordWrap/>
        <w:overflowPunct/>
        <w:topLinePunct w:val="0"/>
        <w:bidi w:val="0"/>
        <w:adjustRightInd w:val="0"/>
        <w:snapToGrid w:val="0"/>
        <w:spacing w:line="560" w:lineRule="exact"/>
        <w:jc w:val="left"/>
        <w:textAlignment w:val="auto"/>
        <w:rPr>
          <w:rFonts w:hint="default" w:ascii="仿宋" w:hAnsi="仿宋" w:eastAsia="方正小标宋_GBK" w:cstheme="minorBidi"/>
          <w:sz w:val="32"/>
          <w:szCs w:val="32"/>
          <w:lang w:val="en-US" w:eastAsia="zh-CN"/>
        </w:rPr>
      </w:pPr>
      <w:r>
        <w:rPr>
          <w:rFonts w:hint="eastAsia"/>
          <w:sz w:val="32"/>
          <w:szCs w:val="32"/>
        </w:rPr>
        <w:t>五、一般公共预算财政拨款支出决算情况说明</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05</w:t>
      </w:r>
    </w:p>
    <w:p>
      <w:pPr>
        <w:pStyle w:val="12"/>
        <w:pageBreakBefore w:val="0"/>
        <w:kinsoku/>
        <w:wordWrap/>
        <w:overflowPunct/>
        <w:topLinePunct w:val="0"/>
        <w:bidi w:val="0"/>
        <w:adjustRightInd w:val="0"/>
        <w:snapToGrid w:val="0"/>
        <w:spacing w:line="560" w:lineRule="exact"/>
        <w:jc w:val="left"/>
        <w:textAlignment w:val="auto"/>
        <w:rPr>
          <w:rFonts w:hint="default" w:ascii="仿宋" w:hAnsi="仿宋" w:eastAsia="方正小标宋_GBK" w:cstheme="minorBidi"/>
          <w:sz w:val="32"/>
          <w:szCs w:val="32"/>
          <w:lang w:val="en-US" w:eastAsia="zh-CN"/>
        </w:rPr>
      </w:pPr>
      <w:r>
        <w:rPr>
          <w:rFonts w:hint="eastAsia"/>
          <w:sz w:val="32"/>
          <w:szCs w:val="32"/>
        </w:rPr>
        <w:t>六、一般公共预算财政拨款基本支出决算情况说明</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08</w:t>
      </w:r>
    </w:p>
    <w:p>
      <w:pPr>
        <w:pStyle w:val="12"/>
        <w:pageBreakBefore w:val="0"/>
        <w:kinsoku/>
        <w:wordWrap/>
        <w:overflowPunct/>
        <w:topLinePunct w:val="0"/>
        <w:bidi w:val="0"/>
        <w:adjustRightInd w:val="0"/>
        <w:snapToGrid w:val="0"/>
        <w:spacing w:line="560" w:lineRule="exact"/>
        <w:jc w:val="left"/>
        <w:textAlignment w:val="auto"/>
        <w:rPr>
          <w:rFonts w:hint="default" w:ascii="仿宋" w:hAnsi="仿宋" w:eastAsia="方正小标宋_GBK" w:cstheme="minorBidi"/>
          <w:sz w:val="32"/>
          <w:szCs w:val="32"/>
          <w:lang w:val="en-US" w:eastAsia="zh-CN"/>
        </w:rPr>
      </w:pPr>
      <w:r>
        <w:rPr>
          <w:rFonts w:hint="eastAsia"/>
          <w:sz w:val="32"/>
          <w:szCs w:val="32"/>
        </w:rPr>
        <w:t>七、财政拨款“三公”经费支出决算情况说明</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08</w:t>
      </w:r>
    </w:p>
    <w:p>
      <w:pPr>
        <w:pStyle w:val="12"/>
        <w:pageBreakBefore w:val="0"/>
        <w:kinsoku/>
        <w:wordWrap/>
        <w:overflowPunct/>
        <w:topLinePunct w:val="0"/>
        <w:bidi w:val="0"/>
        <w:adjustRightInd w:val="0"/>
        <w:snapToGrid w:val="0"/>
        <w:spacing w:line="560" w:lineRule="exact"/>
        <w:jc w:val="left"/>
        <w:textAlignment w:val="auto"/>
        <w:rPr>
          <w:rFonts w:hint="default" w:ascii="仿宋" w:hAnsi="仿宋" w:eastAsia="方正小标宋_GBK" w:cstheme="minorBidi"/>
          <w:sz w:val="32"/>
          <w:szCs w:val="32"/>
          <w:lang w:val="en-US" w:eastAsia="zh-CN"/>
        </w:rPr>
      </w:pPr>
      <w:r>
        <w:rPr>
          <w:rFonts w:hint="eastAsia"/>
          <w:sz w:val="32"/>
          <w:szCs w:val="32"/>
        </w:rPr>
        <w:t>八、政府性基金预算支出决算情况说明</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10</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九、国有资本经营预算支出决算情况说明</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10</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十、其他重要事项的情况说明</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10</w:t>
      </w:r>
    </w:p>
    <w:p>
      <w:pPr>
        <w:pStyle w:val="11"/>
        <w:pageBreakBefore w:val="0"/>
        <w:kinsoku/>
        <w:wordWrap/>
        <w:overflowPunct/>
        <w:topLinePunct w:val="0"/>
        <w:bidi w:val="0"/>
        <w:adjustRightInd w:val="0"/>
        <w:snapToGrid w:val="0"/>
        <w:spacing w:before="0" w:line="560" w:lineRule="exact"/>
        <w:jc w:val="left"/>
        <w:textAlignment w:val="auto"/>
        <w:rPr>
          <w:rFonts w:hint="default" w:eastAsia="方正小标宋_GBK" w:cstheme="minorBidi"/>
          <w:sz w:val="32"/>
          <w:szCs w:val="32"/>
          <w:lang w:val="en-US" w:eastAsia="zh-CN"/>
        </w:rPr>
      </w:pPr>
      <w:r>
        <w:rPr>
          <w:rFonts w:hint="eastAsia"/>
          <w:sz w:val="32"/>
          <w:szCs w:val="32"/>
        </w:rPr>
        <w:t>第三部分</w:t>
      </w:r>
      <w:r>
        <w:rPr>
          <w:sz w:val="32"/>
          <w:szCs w:val="32"/>
        </w:rPr>
        <w:t xml:space="preserve"> </w:t>
      </w:r>
      <w:r>
        <w:rPr>
          <w:rFonts w:hint="eastAsia"/>
          <w:sz w:val="32"/>
          <w:szCs w:val="32"/>
        </w:rPr>
        <w:t>名词解释</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12</w:t>
      </w:r>
    </w:p>
    <w:p>
      <w:pPr>
        <w:pStyle w:val="11"/>
        <w:pageBreakBefore w:val="0"/>
        <w:kinsoku/>
        <w:wordWrap/>
        <w:overflowPunct/>
        <w:topLinePunct w:val="0"/>
        <w:bidi w:val="0"/>
        <w:adjustRightInd w:val="0"/>
        <w:snapToGrid w:val="0"/>
        <w:spacing w:before="0" w:line="560" w:lineRule="exact"/>
        <w:jc w:val="left"/>
        <w:textAlignment w:val="auto"/>
        <w:rPr>
          <w:rFonts w:hint="default" w:eastAsia="方正小标宋_GBK" w:cstheme="minorBidi"/>
          <w:sz w:val="32"/>
          <w:szCs w:val="32"/>
          <w:lang w:val="en-US" w:eastAsia="zh-CN"/>
        </w:rPr>
      </w:pPr>
      <w:r>
        <w:rPr>
          <w:rFonts w:hint="eastAsia"/>
          <w:sz w:val="32"/>
          <w:szCs w:val="32"/>
        </w:rPr>
        <w:t>第四部分</w:t>
      </w:r>
      <w:r>
        <w:rPr>
          <w:sz w:val="32"/>
          <w:szCs w:val="32"/>
        </w:rPr>
        <w:t xml:space="preserve"> </w:t>
      </w:r>
      <w:r>
        <w:rPr>
          <w:rFonts w:hint="eastAsia"/>
          <w:sz w:val="32"/>
          <w:szCs w:val="32"/>
        </w:rPr>
        <w:t>附件</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15</w:t>
      </w:r>
    </w:p>
    <w:p>
      <w:pPr>
        <w:pStyle w:val="11"/>
        <w:pageBreakBefore w:val="0"/>
        <w:kinsoku/>
        <w:wordWrap/>
        <w:overflowPunct/>
        <w:topLinePunct w:val="0"/>
        <w:bidi w:val="0"/>
        <w:adjustRightInd w:val="0"/>
        <w:snapToGrid w:val="0"/>
        <w:spacing w:before="0" w:line="560" w:lineRule="exact"/>
        <w:jc w:val="left"/>
        <w:textAlignment w:val="auto"/>
        <w:rPr>
          <w:rFonts w:hint="default" w:eastAsia="方正小标宋_GBK" w:cstheme="minorBidi"/>
          <w:sz w:val="32"/>
          <w:szCs w:val="32"/>
          <w:lang w:val="en-US" w:eastAsia="zh-CN"/>
        </w:rPr>
      </w:pPr>
      <w:r>
        <w:rPr>
          <w:rFonts w:hint="eastAsia"/>
          <w:sz w:val="32"/>
          <w:szCs w:val="32"/>
        </w:rPr>
        <w:t>第五部分</w:t>
      </w:r>
      <w:r>
        <w:rPr>
          <w:sz w:val="32"/>
          <w:szCs w:val="32"/>
        </w:rPr>
        <w:t xml:space="preserve"> </w:t>
      </w:r>
      <w:r>
        <w:rPr>
          <w:rFonts w:hint="eastAsia"/>
          <w:sz w:val="32"/>
          <w:szCs w:val="32"/>
        </w:rPr>
        <w:t>附表</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19</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一、收入支出决算总表</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19</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二、收入决算表</w:t>
      </w:r>
      <w:r>
        <w:rPr>
          <w:rFonts w:hint="eastAsia" w:ascii="方正小标宋_GBK" w:hAnsi="方正小标宋_GBK" w:eastAsia="方正小标宋_GBK" w:cs="方正小标宋_GBK"/>
          <w:spacing w:val="-17"/>
          <w:sz w:val="32"/>
          <w:szCs w:val="32"/>
        </w:rPr>
        <w:t>………………………………………………</w:t>
      </w:r>
      <w:r>
        <w:rPr>
          <w:rFonts w:hint="eastAsia" w:ascii="方正小标宋_GBK" w:hAnsi="方正小标宋_GBK" w:eastAsia="方正小标宋_GBK" w:cs="方正小标宋_GBK"/>
          <w:spacing w:val="-17"/>
          <w:sz w:val="32"/>
          <w:szCs w:val="32"/>
          <w:lang w:val="en-US" w:eastAsia="zh-CN"/>
        </w:rPr>
        <w:t>20</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三、支出决算表</w:t>
      </w:r>
      <w:r>
        <w:rPr>
          <w:rFonts w:hint="eastAsia" w:ascii="方正小标宋_GBK" w:hAnsi="方正小标宋_GBK" w:eastAsia="方正小标宋_GBK" w:cs="方正小标宋_GBK"/>
          <w:spacing w:val="-17"/>
          <w:sz w:val="32"/>
          <w:szCs w:val="32"/>
        </w:rPr>
        <w:t>………………………………………………</w:t>
      </w:r>
      <w:r>
        <w:rPr>
          <w:rFonts w:hint="eastAsia" w:ascii="方正小标宋_GBK" w:hAnsi="方正小标宋_GBK" w:eastAsia="方正小标宋_GBK" w:cs="方正小标宋_GBK"/>
          <w:spacing w:val="-17"/>
          <w:sz w:val="32"/>
          <w:szCs w:val="32"/>
          <w:lang w:val="en-US" w:eastAsia="zh-CN"/>
        </w:rPr>
        <w:t>21</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四、财政拨款收入支出决算总表</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22</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五、财政拨款支出决算明细表</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23</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六、一般公共预算财政拨款支出决算表</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27</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七、一般公共预算财政拨款支出决算明细表</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28</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八、一般公共预算财政拨款基本支出决算明细表</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33</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九、一般公共预算财政拨款项目支出决算表</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34</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十、政府性基金预算财政拨款收入支出决算表</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35</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十一、国有资本经营预算财政拨款收入支出决算表</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35</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十二、国有资本经营预算财政拨款支出决算表</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36</w:t>
      </w:r>
    </w:p>
    <w:p>
      <w:pPr>
        <w:pStyle w:val="12"/>
        <w:pageBreakBefore w:val="0"/>
        <w:kinsoku/>
        <w:wordWrap/>
        <w:overflowPunct/>
        <w:topLinePunct w:val="0"/>
        <w:bidi w:val="0"/>
        <w:adjustRightInd w:val="0"/>
        <w:snapToGrid w:val="0"/>
        <w:spacing w:line="560" w:lineRule="exact"/>
        <w:jc w:val="left"/>
        <w:textAlignment w:val="auto"/>
        <w:rPr>
          <w:rFonts w:hint="default" w:eastAsia="方正小标宋_GBK"/>
          <w:sz w:val="32"/>
          <w:szCs w:val="32"/>
          <w:lang w:val="en-US" w:eastAsia="zh-CN"/>
        </w:rPr>
      </w:pPr>
      <w:r>
        <w:rPr>
          <w:rFonts w:hint="eastAsia"/>
          <w:sz w:val="32"/>
          <w:szCs w:val="32"/>
        </w:rPr>
        <w:t>十三、财政拨款“三公”经费支出决算表</w:t>
      </w:r>
      <w:r>
        <w:rPr>
          <w:rFonts w:hint="eastAsia" w:ascii="方正小标宋_GBK" w:hAnsi="方正小标宋_GBK" w:eastAsia="方正小标宋_GBK" w:cs="方正小标宋_GBK"/>
          <w:sz w:val="32"/>
          <w:szCs w:val="32"/>
        </w:rPr>
        <w:t>……………</w:t>
      </w:r>
      <w:r>
        <w:rPr>
          <w:rFonts w:hint="eastAsia" w:ascii="方正小标宋_GBK" w:hAnsi="方正小标宋_GBK" w:eastAsia="方正小标宋_GBK" w:cs="方正小标宋_GBK"/>
          <w:sz w:val="32"/>
          <w:szCs w:val="32"/>
          <w:lang w:val="en-US" w:eastAsia="zh-CN"/>
        </w:rPr>
        <w:t>37</w:t>
      </w:r>
    </w:p>
    <w:p>
      <w:pPr>
        <w:pageBreakBefore w:val="0"/>
        <w:widowControl/>
        <w:kinsoku/>
        <w:wordWrap/>
        <w:overflowPunct/>
        <w:topLinePunct w:val="0"/>
        <w:bidi w:val="0"/>
        <w:adjustRightInd w:val="0"/>
        <w:snapToGrid w:val="0"/>
        <w:spacing w:line="560" w:lineRule="exact"/>
        <w:ind w:firstLine="1320" w:firstLineChars="550"/>
        <w:jc w:val="left"/>
        <w:textAlignment w:val="auto"/>
        <w:rPr>
          <w:rFonts w:ascii="仿宋" w:hAnsi="仿宋" w:eastAsia="仿宋"/>
          <w:sz w:val="24"/>
        </w:rPr>
      </w:pPr>
    </w:p>
    <w:p>
      <w:pPr>
        <w:pStyle w:val="3"/>
        <w:pageBreakBefore w:val="0"/>
        <w:kinsoku/>
        <w:wordWrap/>
        <w:overflowPunct/>
        <w:topLinePunct w:val="0"/>
        <w:bidi w:val="0"/>
        <w:spacing w:line="560" w:lineRule="exact"/>
        <w:jc w:val="center"/>
        <w:textAlignment w:val="auto"/>
        <w:rPr>
          <w:rFonts w:hint="eastAsia" w:ascii="黑体" w:hAnsi="黑体" w:eastAsia="黑体"/>
          <w:b w:val="0"/>
        </w:rPr>
        <w:sectPr>
          <w:headerReference r:id="rId6" w:type="first"/>
          <w:headerReference r:id="rId5" w:type="default"/>
          <w:pgSz w:w="11906" w:h="16838"/>
          <w:pgMar w:top="1440" w:right="1800" w:bottom="1440" w:left="1800" w:header="851" w:footer="992" w:gutter="0"/>
          <w:pgNumType w:fmt="decimal" w:start="1"/>
          <w:cols w:space="425" w:num="1"/>
          <w:docGrid w:type="lines" w:linePitch="312" w:charSpace="0"/>
        </w:sectPr>
      </w:pPr>
      <w:bookmarkStart w:id="12" w:name="_Toc15377196"/>
      <w:bookmarkStart w:id="13" w:name="_Toc15396599"/>
    </w:p>
    <w:p>
      <w:pPr>
        <w:pStyle w:val="3"/>
        <w:pageBreakBefore w:val="0"/>
        <w:kinsoku/>
        <w:wordWrap/>
        <w:overflowPunct/>
        <w:topLinePunct w:val="0"/>
        <w:bidi w:val="0"/>
        <w:spacing w:line="560" w:lineRule="exact"/>
        <w:jc w:val="center"/>
        <w:textAlignment w:val="auto"/>
        <w:rPr>
          <w:rStyle w:val="27"/>
          <w:rFonts w:ascii="黑体" w:hAnsi="黑体" w:eastAsia="黑体"/>
          <w:b/>
          <w:bCs w:val="0"/>
        </w:rPr>
      </w:pPr>
      <w:r>
        <w:rPr>
          <w:rFonts w:hint="eastAsia" w:ascii="黑体" w:hAnsi="黑体" w:eastAsia="黑体"/>
          <w:b w:val="0"/>
        </w:rPr>
        <w:t>第一部分 单位</w:t>
      </w:r>
      <w:r>
        <w:rPr>
          <w:rStyle w:val="27"/>
          <w:rFonts w:hint="eastAsia" w:ascii="黑体" w:hAnsi="黑体" w:eastAsia="黑体"/>
          <w:b w:val="0"/>
          <w:bCs w:val="0"/>
        </w:rPr>
        <w:t>概况</w:t>
      </w:r>
      <w:bookmarkEnd w:id="12"/>
      <w:bookmarkEnd w:id="13"/>
    </w:p>
    <w:p>
      <w:pPr>
        <w:pageBreakBefore w:val="0"/>
        <w:widowControl/>
        <w:kinsoku/>
        <w:wordWrap/>
        <w:overflowPunct/>
        <w:topLinePunct w:val="0"/>
        <w:bidi w:val="0"/>
        <w:spacing w:line="560" w:lineRule="exact"/>
        <w:jc w:val="left"/>
        <w:textAlignment w:val="auto"/>
        <w:rPr>
          <w:rFonts w:ascii="黑体" w:eastAsia="黑体"/>
          <w:sz w:val="32"/>
          <w:szCs w:val="32"/>
        </w:rPr>
      </w:pPr>
    </w:p>
    <w:p>
      <w:pPr>
        <w:pStyle w:val="4"/>
        <w:keepNext/>
        <w:keepLines/>
        <w:pageBreakBefore w:val="0"/>
        <w:widowControl w:val="0"/>
        <w:numPr>
          <w:ilvl w:val="0"/>
          <w:numId w:val="1"/>
        </w:numPr>
        <w:kinsoku/>
        <w:wordWrap/>
        <w:overflowPunct/>
        <w:topLinePunct w:val="0"/>
        <w:autoSpaceDE/>
        <w:autoSpaceDN/>
        <w:bidi w:val="0"/>
        <w:snapToGrid/>
        <w:spacing w:before="0" w:after="0" w:line="560" w:lineRule="exact"/>
        <w:ind w:left="210" w:leftChars="0" w:firstLineChars="0"/>
        <w:textAlignment w:val="auto"/>
        <w:rPr>
          <w:rStyle w:val="28"/>
          <w:rFonts w:ascii="黑体" w:hAnsi="黑体" w:eastAsia="黑体"/>
          <w:b w:val="0"/>
          <w:bCs w:val="0"/>
        </w:rPr>
      </w:pPr>
      <w:bookmarkStart w:id="14" w:name="_Toc15377197"/>
      <w:bookmarkStart w:id="15" w:name="_Toc15396600"/>
      <w:r>
        <w:rPr>
          <w:rStyle w:val="28"/>
          <w:rFonts w:hint="eastAsia" w:ascii="黑体" w:hAnsi="黑体" w:eastAsia="黑体"/>
          <w:b w:val="0"/>
          <w:bCs w:val="0"/>
        </w:rPr>
        <w:t>主要职责</w:t>
      </w:r>
    </w:p>
    <w:p>
      <w:pPr>
        <w:pStyle w:val="4"/>
        <w:keepNext/>
        <w:keepLines/>
        <w:pageBreakBefore w:val="0"/>
        <w:widowControl w:val="0"/>
        <w:numPr>
          <w:ilvl w:val="0"/>
          <w:numId w:val="0"/>
        </w:numPr>
        <w:kinsoku/>
        <w:wordWrap/>
        <w:overflowPunct/>
        <w:topLinePunct w:val="0"/>
        <w:autoSpaceDE/>
        <w:autoSpaceDN/>
        <w:bidi w:val="0"/>
        <w:adjustRightInd w:val="0"/>
        <w:snapToGrid/>
        <w:spacing w:before="0" w:after="0" w:line="560" w:lineRule="exact"/>
        <w:ind w:firstLine="640" w:firstLineChars="200"/>
        <w:textAlignment w:val="auto"/>
        <w:rPr>
          <w:rFonts w:ascii="仿宋" w:hAnsi="仿宋" w:eastAsia="仿宋" w:cs="Times New Roman"/>
          <w:b w:val="0"/>
          <w:bCs/>
          <w:color w:val="000000"/>
          <w:kern w:val="0"/>
          <w:sz w:val="32"/>
          <w:szCs w:val="32"/>
          <w:lang w:val="en-US" w:eastAsia="zh-CN" w:bidi="ar-SA"/>
        </w:rPr>
      </w:pPr>
      <w:r>
        <w:rPr>
          <w:rFonts w:hint="eastAsia" w:ascii="仿宋" w:hAnsi="仿宋" w:eastAsia="仿宋" w:cs="Times New Roman"/>
          <w:b w:val="0"/>
          <w:bCs/>
          <w:color w:val="000000"/>
          <w:kern w:val="0"/>
          <w:sz w:val="32"/>
          <w:szCs w:val="32"/>
          <w:lang w:val="en-US" w:eastAsia="zh-CN" w:bidi="ar-SA"/>
        </w:rPr>
        <w:t>1、</w:t>
      </w:r>
      <w:r>
        <w:rPr>
          <w:rFonts w:ascii="仿宋" w:hAnsi="仿宋" w:eastAsia="仿宋" w:cs="Times New Roman"/>
          <w:b w:val="0"/>
          <w:bCs/>
          <w:color w:val="000000"/>
          <w:kern w:val="0"/>
          <w:sz w:val="32"/>
          <w:szCs w:val="32"/>
          <w:lang w:val="en-US" w:eastAsia="zh-CN" w:bidi="ar-SA"/>
        </w:rPr>
        <w:t>贯彻执行国家和省、市有关机关事务工作的方针政策，拟订全区机关事务工作和后勤体制改革的政策、规划和规章制度；指导全区后勤服务单位业务工作。</w:t>
      </w:r>
    </w:p>
    <w:p>
      <w:pPr>
        <w:pStyle w:val="2"/>
        <w:pageBreakBefore w:val="0"/>
        <w:widowControl w:val="0"/>
        <w:kinsoku/>
        <w:wordWrap/>
        <w:overflowPunct/>
        <w:topLinePunct w:val="0"/>
        <w:autoSpaceDE/>
        <w:autoSpaceDN/>
        <w:bidi w:val="0"/>
        <w:adjustRightInd w:val="0"/>
        <w:snapToGrid w:val="0"/>
        <w:spacing w:beforeLines="0" w:line="560" w:lineRule="exact"/>
        <w:ind w:firstLine="640" w:firstLineChars="200"/>
        <w:textAlignment w:val="auto"/>
        <w:outlineLvl w:val="2"/>
        <w:rPr>
          <w:rFonts w:ascii="仿宋" w:hAnsi="仿宋" w:eastAsia="仿宋"/>
          <w:bCs/>
          <w:color w:val="000000"/>
          <w:sz w:val="32"/>
          <w:szCs w:val="32"/>
        </w:rPr>
      </w:pPr>
      <w:r>
        <w:rPr>
          <w:rFonts w:hint="eastAsia" w:ascii="仿宋" w:hAnsi="仿宋" w:eastAsia="仿宋"/>
          <w:bCs/>
          <w:color w:val="000000"/>
          <w:sz w:val="32"/>
          <w:szCs w:val="32"/>
        </w:rPr>
        <w:t>2、</w:t>
      </w:r>
      <w:r>
        <w:rPr>
          <w:rFonts w:ascii="仿宋" w:hAnsi="仿宋" w:eastAsia="仿宋"/>
          <w:bCs/>
          <w:color w:val="000000"/>
          <w:sz w:val="32"/>
          <w:szCs w:val="32"/>
        </w:rPr>
        <w:t>负责区级行政事业单位国有土地归口管理涉及的相关服务工作。</w:t>
      </w:r>
    </w:p>
    <w:p>
      <w:pPr>
        <w:pStyle w:val="2"/>
        <w:pageBreakBefore w:val="0"/>
        <w:widowControl w:val="0"/>
        <w:kinsoku/>
        <w:wordWrap/>
        <w:overflowPunct/>
        <w:topLinePunct w:val="0"/>
        <w:autoSpaceDE/>
        <w:autoSpaceDN/>
        <w:bidi w:val="0"/>
        <w:adjustRightInd w:val="0"/>
        <w:snapToGrid w:val="0"/>
        <w:spacing w:beforeLines="0" w:line="560" w:lineRule="exact"/>
        <w:ind w:firstLine="640" w:firstLineChars="200"/>
        <w:textAlignment w:val="auto"/>
        <w:outlineLvl w:val="2"/>
        <w:rPr>
          <w:rFonts w:ascii="仿宋" w:hAnsi="仿宋" w:eastAsia="仿宋"/>
          <w:bCs/>
          <w:color w:val="000000"/>
          <w:sz w:val="32"/>
          <w:szCs w:val="32"/>
        </w:rPr>
      </w:pPr>
      <w:r>
        <w:rPr>
          <w:rFonts w:hint="eastAsia" w:ascii="仿宋" w:hAnsi="仿宋" w:eastAsia="仿宋"/>
          <w:bCs/>
          <w:color w:val="000000"/>
          <w:sz w:val="32"/>
          <w:szCs w:val="32"/>
        </w:rPr>
        <w:t>3、</w:t>
      </w:r>
      <w:r>
        <w:rPr>
          <w:rFonts w:ascii="仿宋" w:hAnsi="仿宋" w:eastAsia="仿宋"/>
          <w:bCs/>
          <w:color w:val="000000"/>
          <w:sz w:val="32"/>
          <w:szCs w:val="32"/>
        </w:rPr>
        <w:t>负责制定区级行政事业单位国有资产管理具体制度和办法并组织实施，承担产权界定、清查登记、资产处置、调剂安排和使用、维修管理等相关具体工作。</w:t>
      </w:r>
    </w:p>
    <w:p>
      <w:pPr>
        <w:pStyle w:val="2"/>
        <w:pageBreakBefore w:val="0"/>
        <w:widowControl w:val="0"/>
        <w:kinsoku/>
        <w:wordWrap/>
        <w:overflowPunct/>
        <w:topLinePunct w:val="0"/>
        <w:autoSpaceDE/>
        <w:autoSpaceDN/>
        <w:bidi w:val="0"/>
        <w:adjustRightInd w:val="0"/>
        <w:snapToGrid w:val="0"/>
        <w:spacing w:beforeLines="0" w:line="560" w:lineRule="exact"/>
        <w:ind w:firstLine="640" w:firstLineChars="200"/>
        <w:textAlignment w:val="auto"/>
        <w:outlineLvl w:val="2"/>
        <w:rPr>
          <w:rFonts w:ascii="仿宋" w:hAnsi="仿宋" w:eastAsia="仿宋"/>
          <w:bCs/>
          <w:color w:val="000000"/>
          <w:sz w:val="32"/>
          <w:szCs w:val="32"/>
        </w:rPr>
      </w:pPr>
      <w:r>
        <w:rPr>
          <w:rFonts w:hint="eastAsia" w:ascii="仿宋" w:hAnsi="仿宋" w:eastAsia="仿宋"/>
          <w:bCs/>
          <w:color w:val="000000"/>
          <w:sz w:val="32"/>
          <w:szCs w:val="32"/>
        </w:rPr>
        <w:t>4、</w:t>
      </w:r>
      <w:r>
        <w:rPr>
          <w:rFonts w:ascii="仿宋" w:hAnsi="仿宋" w:eastAsia="仿宋"/>
          <w:bCs/>
          <w:color w:val="000000"/>
          <w:sz w:val="32"/>
          <w:szCs w:val="32"/>
        </w:rPr>
        <w:t>提供区级机关集中住宅区的建设和管理涉及的相关服务性工作，承担区级机关行政办公用房的建设审核涉及相关具体工作。</w:t>
      </w:r>
    </w:p>
    <w:p>
      <w:pPr>
        <w:pStyle w:val="2"/>
        <w:pageBreakBefore w:val="0"/>
        <w:widowControl w:val="0"/>
        <w:kinsoku/>
        <w:wordWrap/>
        <w:overflowPunct/>
        <w:topLinePunct w:val="0"/>
        <w:autoSpaceDE/>
        <w:autoSpaceDN/>
        <w:bidi w:val="0"/>
        <w:adjustRightInd w:val="0"/>
        <w:snapToGrid w:val="0"/>
        <w:spacing w:beforeLines="0" w:line="560" w:lineRule="exact"/>
        <w:ind w:firstLine="640" w:firstLineChars="200"/>
        <w:textAlignment w:val="auto"/>
        <w:outlineLvl w:val="2"/>
        <w:rPr>
          <w:rFonts w:ascii="仿宋" w:hAnsi="仿宋" w:eastAsia="仿宋"/>
          <w:bCs/>
          <w:color w:val="000000"/>
          <w:sz w:val="32"/>
          <w:szCs w:val="32"/>
        </w:rPr>
      </w:pPr>
      <w:r>
        <w:rPr>
          <w:rFonts w:hint="eastAsia" w:ascii="仿宋" w:hAnsi="仿宋" w:eastAsia="仿宋"/>
          <w:bCs/>
          <w:color w:val="000000"/>
          <w:sz w:val="32"/>
          <w:szCs w:val="32"/>
        </w:rPr>
        <w:t>5、</w:t>
      </w:r>
      <w:r>
        <w:rPr>
          <w:rFonts w:ascii="仿宋" w:hAnsi="仿宋" w:eastAsia="仿宋"/>
          <w:bCs/>
          <w:color w:val="000000"/>
          <w:sz w:val="32"/>
          <w:szCs w:val="32"/>
        </w:rPr>
        <w:t>承担全区各级行政机关、事业单位应急、机要通信、调研用车、业务用车编制核定、配备、更新、处置等相关具体工作。</w:t>
      </w:r>
    </w:p>
    <w:p>
      <w:pPr>
        <w:pStyle w:val="2"/>
        <w:pageBreakBefore w:val="0"/>
        <w:widowControl w:val="0"/>
        <w:kinsoku/>
        <w:wordWrap/>
        <w:overflowPunct/>
        <w:topLinePunct w:val="0"/>
        <w:autoSpaceDE/>
        <w:autoSpaceDN/>
        <w:bidi w:val="0"/>
        <w:adjustRightInd w:val="0"/>
        <w:snapToGrid w:val="0"/>
        <w:spacing w:beforeLines="0" w:line="560" w:lineRule="exact"/>
        <w:ind w:firstLine="640" w:firstLineChars="200"/>
        <w:textAlignment w:val="auto"/>
        <w:outlineLvl w:val="2"/>
        <w:rPr>
          <w:rFonts w:ascii="仿宋" w:hAnsi="仿宋" w:eastAsia="仿宋"/>
          <w:bCs/>
          <w:color w:val="000000"/>
          <w:sz w:val="32"/>
          <w:szCs w:val="32"/>
        </w:rPr>
      </w:pPr>
      <w:r>
        <w:rPr>
          <w:rFonts w:hint="eastAsia" w:ascii="仿宋" w:hAnsi="仿宋" w:eastAsia="仿宋"/>
          <w:bCs/>
          <w:color w:val="000000"/>
          <w:sz w:val="32"/>
          <w:szCs w:val="32"/>
        </w:rPr>
        <w:t>6、</w:t>
      </w:r>
      <w:r>
        <w:rPr>
          <w:rFonts w:ascii="仿宋" w:hAnsi="仿宋" w:eastAsia="仿宋"/>
          <w:bCs/>
          <w:color w:val="000000"/>
          <w:sz w:val="32"/>
          <w:szCs w:val="32"/>
        </w:rPr>
        <w:t>承担全区公共机构节约能源管理相关的具体工作。参与拟订区级公共机构节能规划、节能改造计划并协助组织实施，负责开展能耗统计、监测和评价考核等服务性工作，参与推动公共机构节能。</w:t>
      </w:r>
    </w:p>
    <w:p>
      <w:pPr>
        <w:pStyle w:val="2"/>
        <w:pageBreakBefore w:val="0"/>
        <w:widowControl w:val="0"/>
        <w:kinsoku/>
        <w:wordWrap/>
        <w:overflowPunct/>
        <w:topLinePunct w:val="0"/>
        <w:autoSpaceDE/>
        <w:autoSpaceDN/>
        <w:bidi w:val="0"/>
        <w:adjustRightInd w:val="0"/>
        <w:snapToGrid w:val="0"/>
        <w:spacing w:beforeLines="0" w:line="560" w:lineRule="exact"/>
        <w:ind w:firstLine="640" w:firstLineChars="200"/>
        <w:textAlignment w:val="auto"/>
        <w:outlineLvl w:val="2"/>
        <w:rPr>
          <w:rFonts w:ascii="仿宋" w:hAnsi="仿宋" w:eastAsia="仿宋"/>
          <w:bCs/>
          <w:color w:val="000000"/>
          <w:sz w:val="32"/>
          <w:szCs w:val="32"/>
        </w:rPr>
      </w:pPr>
      <w:r>
        <w:rPr>
          <w:rFonts w:hint="eastAsia" w:ascii="仿宋" w:hAnsi="仿宋" w:eastAsia="仿宋"/>
          <w:bCs/>
          <w:color w:val="000000"/>
          <w:sz w:val="32"/>
          <w:szCs w:val="32"/>
        </w:rPr>
        <w:t>7、</w:t>
      </w:r>
      <w:r>
        <w:rPr>
          <w:rFonts w:ascii="仿宋" w:hAnsi="仿宋" w:eastAsia="仿宋"/>
          <w:bCs/>
          <w:color w:val="000000"/>
          <w:sz w:val="32"/>
          <w:szCs w:val="32"/>
        </w:rPr>
        <w:t>负责区级机关事务的保障、服务工作，承担区级机关集中办公区的公共服务和管理工作，协助区政府办管理区政府机关文印室和机关食堂等后勤服务工作。</w:t>
      </w:r>
    </w:p>
    <w:p>
      <w:pPr>
        <w:pStyle w:val="2"/>
        <w:pageBreakBefore w:val="0"/>
        <w:widowControl w:val="0"/>
        <w:kinsoku/>
        <w:wordWrap/>
        <w:overflowPunct/>
        <w:topLinePunct w:val="0"/>
        <w:autoSpaceDE/>
        <w:autoSpaceDN/>
        <w:bidi w:val="0"/>
        <w:adjustRightInd w:val="0"/>
        <w:snapToGrid w:val="0"/>
        <w:spacing w:beforeLines="0" w:line="560" w:lineRule="exact"/>
        <w:ind w:firstLine="640" w:firstLineChars="200"/>
        <w:textAlignment w:val="auto"/>
        <w:outlineLvl w:val="2"/>
        <w:rPr>
          <w:rFonts w:ascii="仿宋" w:hAnsi="仿宋" w:eastAsia="仿宋"/>
          <w:bCs/>
          <w:color w:val="000000"/>
          <w:sz w:val="32"/>
          <w:szCs w:val="32"/>
        </w:rPr>
      </w:pPr>
      <w:r>
        <w:rPr>
          <w:rFonts w:hint="eastAsia" w:ascii="仿宋" w:hAnsi="仿宋" w:eastAsia="仿宋"/>
          <w:bCs/>
          <w:color w:val="000000"/>
          <w:sz w:val="32"/>
          <w:szCs w:val="32"/>
        </w:rPr>
        <w:t>8、</w:t>
      </w:r>
      <w:r>
        <w:rPr>
          <w:rFonts w:ascii="仿宋" w:hAnsi="仿宋" w:eastAsia="仿宋"/>
          <w:bCs/>
          <w:color w:val="000000"/>
          <w:sz w:val="32"/>
          <w:szCs w:val="32"/>
        </w:rPr>
        <w:t>指导并组织实施区级机关后勤管理员工培训工作。</w:t>
      </w:r>
    </w:p>
    <w:p>
      <w:pPr>
        <w:pStyle w:val="2"/>
        <w:pageBreakBefore w:val="0"/>
        <w:widowControl w:val="0"/>
        <w:kinsoku/>
        <w:wordWrap/>
        <w:overflowPunct/>
        <w:topLinePunct w:val="0"/>
        <w:autoSpaceDE/>
        <w:autoSpaceDN/>
        <w:bidi w:val="0"/>
        <w:adjustRightInd w:val="0"/>
        <w:snapToGrid w:val="0"/>
        <w:spacing w:beforeLines="0" w:line="560" w:lineRule="exact"/>
        <w:ind w:firstLine="640" w:firstLineChars="200"/>
        <w:textAlignment w:val="auto"/>
        <w:outlineLvl w:val="2"/>
      </w:pPr>
      <w:r>
        <w:rPr>
          <w:rFonts w:hint="eastAsia" w:ascii="仿宋" w:hAnsi="仿宋" w:eastAsia="仿宋"/>
          <w:bCs/>
          <w:color w:val="000000"/>
          <w:sz w:val="32"/>
          <w:szCs w:val="32"/>
        </w:rPr>
        <w:t>9、</w:t>
      </w:r>
      <w:r>
        <w:rPr>
          <w:rFonts w:ascii="仿宋" w:hAnsi="仿宋" w:eastAsia="仿宋"/>
          <w:bCs/>
          <w:color w:val="000000"/>
          <w:sz w:val="32"/>
          <w:szCs w:val="32"/>
        </w:rPr>
        <w:t>完成区委和区政府交办的其他任务。</w:t>
      </w:r>
    </w:p>
    <w:p>
      <w:pPr>
        <w:pStyle w:val="4"/>
        <w:pageBreakBefore w:val="0"/>
        <w:widowControl w:val="0"/>
        <w:kinsoku/>
        <w:wordWrap/>
        <w:overflowPunct/>
        <w:topLinePunct w:val="0"/>
        <w:autoSpaceDE/>
        <w:autoSpaceDN/>
        <w:bidi w:val="0"/>
        <w:spacing w:before="0" w:after="0" w:line="560" w:lineRule="exact"/>
        <w:jc w:val="left"/>
        <w:textAlignment w:val="auto"/>
        <w:rPr>
          <w:rFonts w:hint="eastAsia" w:ascii="黑体" w:hAnsi="黑体" w:eastAsia="黑体"/>
          <w:b w:val="0"/>
        </w:rPr>
      </w:pPr>
      <w:r>
        <w:rPr>
          <w:rFonts w:hint="eastAsia" w:ascii="黑体" w:hAnsi="黑体" w:eastAsia="黑体"/>
          <w:b w:val="0"/>
        </w:rPr>
        <w:t>二、机构设置</w:t>
      </w:r>
    </w:p>
    <w:p>
      <w:pPr>
        <w:pStyle w:val="2"/>
        <w:pageBreakBefore w:val="0"/>
        <w:widowControl w:val="0"/>
        <w:kinsoku/>
        <w:wordWrap/>
        <w:overflowPunct/>
        <w:topLinePunct w:val="0"/>
        <w:autoSpaceDE/>
        <w:autoSpaceDN/>
        <w:bidi w:val="0"/>
        <w:adjustRightInd w:val="0"/>
        <w:snapToGrid w:val="0"/>
        <w:spacing w:beforeLines="0" w:line="560" w:lineRule="exact"/>
        <w:ind w:firstLine="640" w:firstLineChars="200"/>
        <w:jc w:val="left"/>
        <w:textAlignment w:val="auto"/>
        <w:outlineLvl w:val="2"/>
        <w:rPr>
          <w:rFonts w:hint="default" w:ascii="黑体" w:hAnsi="黑体" w:eastAsia="黑体"/>
          <w:b w:val="0"/>
          <w:color w:val="auto"/>
          <w:highlight w:val="none"/>
          <w:lang w:val="en-US" w:eastAsia="zh-CN"/>
        </w:rPr>
      </w:pPr>
      <w:r>
        <w:rPr>
          <w:rFonts w:hint="eastAsia" w:ascii="仿宋_GB2312" w:hAnsi="Times New Roman" w:eastAsia="仿宋_GB2312" w:cs="Times New Roman"/>
          <w:kern w:val="0"/>
          <w:sz w:val="32"/>
          <w:szCs w:val="32"/>
        </w:rPr>
        <w:t>中心内设综合股、车辆管理股、资产财务股、公共机构节能股、后勤管理股5个股室。</w:t>
      </w:r>
    </w:p>
    <w:p>
      <w:pPr>
        <w:pageBreakBefore w:val="0"/>
        <w:kinsoku/>
        <w:wordWrap/>
        <w:overflowPunct/>
        <w:topLinePunct w:val="0"/>
        <w:bidi w:val="0"/>
        <w:spacing w:line="560" w:lineRule="exact"/>
        <w:textAlignment w:val="auto"/>
      </w:pPr>
    </w:p>
    <w:bookmarkEnd w:id="14"/>
    <w:bookmarkEnd w:id="15"/>
    <w:p>
      <w:pPr>
        <w:pageBreakBefore w:val="0"/>
        <w:widowControl/>
        <w:kinsoku/>
        <w:wordWrap/>
        <w:overflowPunct/>
        <w:topLinePunct w:val="0"/>
        <w:bidi w:val="0"/>
        <w:spacing w:line="560" w:lineRule="exact"/>
        <w:jc w:val="left"/>
        <w:textAlignment w:val="auto"/>
        <w:rPr>
          <w:rFonts w:ascii="仿宋" w:hAnsi="仿宋" w:eastAsia="仿宋"/>
          <w:kern w:val="0"/>
          <w:sz w:val="32"/>
          <w:szCs w:val="32"/>
        </w:rPr>
      </w:pPr>
      <w:r>
        <w:rPr>
          <w:rFonts w:ascii="仿宋" w:hAnsi="仿宋" w:eastAsia="仿宋"/>
          <w:sz w:val="32"/>
          <w:szCs w:val="32"/>
        </w:rPr>
        <w:br w:type="page"/>
      </w:r>
    </w:p>
    <w:p>
      <w:pPr>
        <w:pStyle w:val="3"/>
        <w:pageBreakBefore w:val="0"/>
        <w:kinsoku/>
        <w:wordWrap/>
        <w:overflowPunct/>
        <w:topLinePunct w:val="0"/>
        <w:bidi w:val="0"/>
        <w:spacing w:line="560" w:lineRule="exact"/>
        <w:ind w:right="440"/>
        <w:jc w:val="center"/>
        <w:textAlignment w:val="auto"/>
        <w:rPr>
          <w:rStyle w:val="27"/>
          <w:rFonts w:ascii="黑体" w:hAnsi="黑体" w:eastAsia="黑体"/>
          <w:b w:val="0"/>
          <w:bCs/>
        </w:rPr>
      </w:pPr>
      <w:bookmarkStart w:id="16" w:name="_Toc15396602"/>
      <w:bookmarkStart w:id="17" w:name="_Toc15377204"/>
      <w:r>
        <w:rPr>
          <w:rFonts w:hint="eastAsia" w:ascii="黑体" w:hAnsi="黑体" w:eastAsia="黑体"/>
          <w:b w:val="0"/>
        </w:rPr>
        <w:t>第二部分 2023年度</w:t>
      </w:r>
      <w:r>
        <w:rPr>
          <w:rStyle w:val="27"/>
          <w:rFonts w:hint="eastAsia" w:ascii="黑体" w:hAnsi="黑体" w:eastAsia="黑体"/>
          <w:b w:val="0"/>
          <w:bCs/>
        </w:rPr>
        <w:t>单位决算情况说明</w:t>
      </w:r>
      <w:bookmarkEnd w:id="16"/>
      <w:bookmarkEnd w:id="17"/>
    </w:p>
    <w:p>
      <w:pPr>
        <w:pStyle w:val="26"/>
        <w:pageBreakBefore w:val="0"/>
        <w:numPr>
          <w:ilvl w:val="0"/>
          <w:numId w:val="2"/>
        </w:numPr>
        <w:kinsoku/>
        <w:wordWrap/>
        <w:overflowPunct/>
        <w:topLinePunct w:val="0"/>
        <w:bidi w:val="0"/>
        <w:spacing w:line="560" w:lineRule="exact"/>
        <w:ind w:firstLineChars="0"/>
        <w:textAlignment w:val="auto"/>
        <w:outlineLvl w:val="1"/>
        <w:rPr>
          <w:rStyle w:val="28"/>
          <w:rFonts w:ascii="黑体" w:hAnsi="黑体" w:eastAsia="黑体"/>
          <w:b w:val="0"/>
        </w:rPr>
      </w:pPr>
      <w:bookmarkStart w:id="18" w:name="_Toc15377205"/>
      <w:bookmarkStart w:id="19" w:name="_Toc15396603"/>
      <w:r>
        <w:rPr>
          <w:rFonts w:hint="eastAsia" w:ascii="黑体" w:hAnsi="黑体" w:eastAsia="黑体"/>
          <w:sz w:val="32"/>
          <w:szCs w:val="32"/>
        </w:rPr>
        <w:t>收</w:t>
      </w:r>
      <w:r>
        <w:rPr>
          <w:rStyle w:val="28"/>
          <w:rFonts w:hint="eastAsia" w:ascii="黑体" w:hAnsi="黑体" w:eastAsia="黑体"/>
          <w:b w:val="0"/>
        </w:rPr>
        <w:t>入支出决算总体情况说明</w:t>
      </w:r>
      <w:bookmarkEnd w:id="18"/>
      <w:bookmarkEnd w:id="19"/>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2023年度收</w:t>
      </w:r>
      <w:r>
        <w:rPr>
          <w:rFonts w:hint="eastAsia" w:ascii="仿宋" w:hAnsi="仿宋" w:eastAsia="仿宋"/>
          <w:sz w:val="32"/>
          <w:szCs w:val="32"/>
          <w:lang w:eastAsia="zh-CN"/>
        </w:rPr>
        <w:t>入</w:t>
      </w:r>
      <w:r>
        <w:rPr>
          <w:rFonts w:hint="eastAsia" w:ascii="仿宋" w:hAnsi="仿宋" w:eastAsia="仿宋"/>
          <w:sz w:val="32"/>
          <w:szCs w:val="32"/>
        </w:rPr>
        <w:t>总计为</w:t>
      </w:r>
      <w:r>
        <w:rPr>
          <w:rFonts w:hint="eastAsia" w:ascii="仿宋" w:hAnsi="仿宋" w:eastAsia="仿宋"/>
          <w:b/>
          <w:sz w:val="32"/>
          <w:szCs w:val="32"/>
        </w:rPr>
        <w:t>1095.85</w:t>
      </w:r>
      <w:r>
        <w:rPr>
          <w:rFonts w:hint="eastAsia" w:ascii="仿宋" w:hAnsi="仿宋" w:eastAsia="仿宋"/>
          <w:sz w:val="32"/>
          <w:szCs w:val="32"/>
        </w:rPr>
        <w:t>万元。与2022年度相比，收</w:t>
      </w:r>
      <w:r>
        <w:rPr>
          <w:rFonts w:hint="eastAsia" w:ascii="仿宋" w:hAnsi="仿宋" w:eastAsia="仿宋"/>
          <w:sz w:val="32"/>
          <w:szCs w:val="32"/>
          <w:lang w:eastAsia="zh-CN"/>
        </w:rPr>
        <w:t>入</w:t>
      </w:r>
      <w:r>
        <w:rPr>
          <w:rFonts w:hint="eastAsia" w:ascii="仿宋" w:hAnsi="仿宋" w:eastAsia="仿宋"/>
          <w:sz w:val="32"/>
          <w:szCs w:val="32"/>
        </w:rPr>
        <w:t>总计减少</w:t>
      </w:r>
      <w:r>
        <w:rPr>
          <w:rFonts w:hint="eastAsia" w:ascii="仿宋" w:hAnsi="仿宋" w:eastAsia="仿宋"/>
          <w:sz w:val="32"/>
          <w:szCs w:val="32"/>
          <w:lang w:val="en-US" w:eastAsia="zh-CN"/>
        </w:rPr>
        <w:t>49.29</w:t>
      </w:r>
      <w:r>
        <w:rPr>
          <w:rFonts w:hint="eastAsia" w:ascii="仿宋" w:hAnsi="仿宋" w:eastAsia="仿宋"/>
          <w:sz w:val="32"/>
          <w:szCs w:val="32"/>
        </w:rPr>
        <w:t>万元，下降</w:t>
      </w:r>
      <w:r>
        <w:rPr>
          <w:rFonts w:hint="eastAsia" w:ascii="仿宋" w:hAnsi="仿宋" w:eastAsia="仿宋"/>
          <w:sz w:val="32"/>
          <w:szCs w:val="32"/>
          <w:lang w:val="en-US" w:eastAsia="zh-CN"/>
        </w:rPr>
        <w:t>4.30</w:t>
      </w:r>
      <w:r>
        <w:rPr>
          <w:rFonts w:ascii="仿宋" w:hAnsi="仿宋" w:eastAsia="仿宋"/>
          <w:sz w:val="32"/>
          <w:szCs w:val="32"/>
        </w:rPr>
        <w:t>%</w:t>
      </w:r>
      <w:r>
        <w:rPr>
          <w:rFonts w:hint="eastAsia" w:ascii="仿宋" w:hAnsi="仿宋" w:eastAsia="仿宋"/>
          <w:sz w:val="32"/>
          <w:szCs w:val="32"/>
        </w:rPr>
        <w:t>。主要变动原因是</w:t>
      </w:r>
      <w:r>
        <w:rPr>
          <w:rFonts w:hint="eastAsia" w:ascii="Times New Roman" w:hAnsi="Times New Roman" w:eastAsia="仿宋_GB2312" w:cs="Times New Roman"/>
          <w:b w:val="0"/>
          <w:bCs w:val="0"/>
          <w:sz w:val="32"/>
          <w:szCs w:val="32"/>
          <w:lang w:val="en-US" w:eastAsia="zh-CN"/>
        </w:rPr>
        <w:t>本年度严格落实压减责任，秉承“少花钱，多办事”原则，减少了经费开支</w:t>
      </w:r>
      <w:r>
        <w:rPr>
          <w:rFonts w:hint="eastAsia" w:ascii="仿宋" w:hAnsi="仿宋" w:eastAsia="仿宋"/>
          <w:sz w:val="32"/>
          <w:szCs w:val="32"/>
        </w:rPr>
        <w:t>。</w:t>
      </w:r>
    </w:p>
    <w:p>
      <w:pPr>
        <w:pageBreakBefore w:val="0"/>
        <w:kinsoku/>
        <w:wordWrap/>
        <w:overflowPunct/>
        <w:topLinePunct w:val="0"/>
        <w:bidi w:val="0"/>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2023年度支</w:t>
      </w:r>
      <w:r>
        <w:rPr>
          <w:rFonts w:hint="eastAsia" w:ascii="仿宋" w:hAnsi="仿宋" w:eastAsia="仿宋"/>
          <w:sz w:val="32"/>
          <w:szCs w:val="32"/>
          <w:lang w:eastAsia="zh-CN"/>
        </w:rPr>
        <w:t>出</w:t>
      </w:r>
      <w:r>
        <w:rPr>
          <w:rFonts w:hint="eastAsia" w:ascii="仿宋" w:hAnsi="仿宋" w:eastAsia="仿宋"/>
          <w:sz w:val="32"/>
          <w:szCs w:val="32"/>
        </w:rPr>
        <w:t>总计均为</w:t>
      </w:r>
      <w:r>
        <w:rPr>
          <w:rFonts w:hint="eastAsia" w:ascii="仿宋" w:hAnsi="仿宋" w:eastAsia="仿宋"/>
          <w:b/>
          <w:sz w:val="32"/>
          <w:szCs w:val="32"/>
        </w:rPr>
        <w:t>1095.85</w:t>
      </w:r>
      <w:r>
        <w:rPr>
          <w:rFonts w:hint="eastAsia" w:ascii="仿宋" w:hAnsi="仿宋" w:eastAsia="仿宋"/>
          <w:sz w:val="32"/>
          <w:szCs w:val="32"/>
        </w:rPr>
        <w:t>万元。与2022年度相比，支</w:t>
      </w:r>
      <w:r>
        <w:rPr>
          <w:rFonts w:hint="eastAsia" w:ascii="仿宋" w:hAnsi="仿宋" w:eastAsia="仿宋"/>
          <w:sz w:val="32"/>
          <w:szCs w:val="32"/>
          <w:lang w:eastAsia="zh-CN"/>
        </w:rPr>
        <w:t>出</w:t>
      </w:r>
      <w:r>
        <w:rPr>
          <w:rFonts w:hint="eastAsia" w:ascii="仿宋" w:hAnsi="仿宋" w:eastAsia="仿宋"/>
          <w:sz w:val="32"/>
          <w:szCs w:val="32"/>
        </w:rPr>
        <w:t>总计减少</w:t>
      </w:r>
      <w:r>
        <w:rPr>
          <w:rFonts w:hint="eastAsia" w:ascii="仿宋" w:hAnsi="仿宋" w:eastAsia="仿宋"/>
          <w:sz w:val="32"/>
          <w:szCs w:val="32"/>
          <w:lang w:val="en-US" w:eastAsia="zh-CN"/>
        </w:rPr>
        <w:t>49.29</w:t>
      </w:r>
      <w:r>
        <w:rPr>
          <w:rFonts w:hint="eastAsia" w:ascii="仿宋" w:hAnsi="仿宋" w:eastAsia="仿宋"/>
          <w:sz w:val="32"/>
          <w:szCs w:val="32"/>
        </w:rPr>
        <w:t>万元，下降</w:t>
      </w:r>
      <w:r>
        <w:rPr>
          <w:rFonts w:hint="eastAsia" w:ascii="仿宋" w:hAnsi="仿宋" w:eastAsia="仿宋"/>
          <w:sz w:val="32"/>
          <w:szCs w:val="32"/>
          <w:lang w:val="en-US" w:eastAsia="zh-CN"/>
        </w:rPr>
        <w:t>4.30</w:t>
      </w:r>
      <w:r>
        <w:rPr>
          <w:rFonts w:ascii="仿宋" w:hAnsi="仿宋" w:eastAsia="仿宋"/>
          <w:sz w:val="32"/>
          <w:szCs w:val="32"/>
        </w:rPr>
        <w:t>%</w:t>
      </w:r>
      <w:r>
        <w:rPr>
          <w:rFonts w:hint="eastAsia" w:ascii="仿宋" w:hAnsi="仿宋" w:eastAsia="仿宋"/>
          <w:sz w:val="32"/>
          <w:szCs w:val="32"/>
        </w:rPr>
        <w:t>。主要变动原因是</w:t>
      </w:r>
      <w:r>
        <w:rPr>
          <w:rFonts w:hint="eastAsia" w:ascii="Times New Roman" w:hAnsi="Times New Roman" w:eastAsia="仿宋_GB2312" w:cs="Times New Roman"/>
          <w:b w:val="0"/>
          <w:bCs w:val="0"/>
          <w:sz w:val="32"/>
          <w:szCs w:val="32"/>
          <w:lang w:val="en-US" w:eastAsia="zh-CN"/>
        </w:rPr>
        <w:t>本年度严格落实压减责任，秉承“少花钱，多办事”原则，减少了经费开支</w:t>
      </w:r>
      <w:r>
        <w:rPr>
          <w:rFonts w:hint="eastAsia" w:ascii="仿宋" w:hAnsi="仿宋" w:eastAsia="仿宋"/>
          <w:sz w:val="32"/>
          <w:szCs w:val="32"/>
        </w:rPr>
        <w:t>。</w:t>
      </w:r>
    </w:p>
    <w:p>
      <w:pPr>
        <w:pStyle w:val="2"/>
      </w:pPr>
      <w:r>
        <w:rPr>
          <w:rFonts w:hint="eastAsia" w:ascii="黑体" w:hAnsi="黑体" w:eastAsia="黑体"/>
          <w:sz w:val="32"/>
          <w:szCs w:val="32"/>
        </w:rPr>
        <w:drawing>
          <wp:inline distT="0" distB="0" distL="114300" distR="114300">
            <wp:extent cx="5080000" cy="3810000"/>
            <wp:effectExtent l="4445" t="4445" r="2095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pPr>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pPr>
        <w:pStyle w:val="26"/>
        <w:pageBreakBefore w:val="0"/>
        <w:numPr>
          <w:ilvl w:val="0"/>
          <w:numId w:val="2"/>
        </w:numPr>
        <w:kinsoku/>
        <w:wordWrap/>
        <w:overflowPunct/>
        <w:topLinePunct w:val="0"/>
        <w:bidi w:val="0"/>
        <w:spacing w:line="560" w:lineRule="exact"/>
        <w:ind w:firstLineChars="0"/>
        <w:textAlignment w:val="auto"/>
        <w:outlineLvl w:val="1"/>
        <w:rPr>
          <w:rStyle w:val="28"/>
          <w:rFonts w:ascii="黑体" w:hAnsi="黑体" w:eastAsia="黑体"/>
          <w:b w:val="0"/>
        </w:rPr>
      </w:pPr>
      <w:bookmarkStart w:id="20" w:name="_Toc15377206"/>
      <w:bookmarkStart w:id="21" w:name="_Toc15396604"/>
      <w:r>
        <w:rPr>
          <w:rFonts w:hint="eastAsia" w:ascii="黑体" w:hAnsi="黑体" w:eastAsia="黑体"/>
          <w:sz w:val="32"/>
          <w:szCs w:val="32"/>
        </w:rPr>
        <w:t>收</w:t>
      </w:r>
      <w:r>
        <w:rPr>
          <w:rStyle w:val="28"/>
          <w:rFonts w:hint="eastAsia" w:ascii="黑体" w:hAnsi="黑体" w:eastAsia="黑体"/>
          <w:b w:val="0"/>
        </w:rPr>
        <w:t>入决算情况说明</w:t>
      </w:r>
      <w:bookmarkEnd w:id="20"/>
      <w:bookmarkEnd w:id="21"/>
    </w:p>
    <w:p>
      <w:pPr>
        <w:pageBreakBefore w:val="0"/>
        <w:kinsoku/>
        <w:wordWrap/>
        <w:overflowPunct/>
        <w:topLinePunct w:val="0"/>
        <w:bidi w:val="0"/>
        <w:spacing w:line="560" w:lineRule="exact"/>
        <w:ind w:firstLine="640" w:firstLineChars="200"/>
        <w:textAlignment w:val="auto"/>
        <w:outlineLvl w:val="1"/>
        <w:rPr>
          <w:rFonts w:hint="eastAsia" w:ascii="仿宋" w:hAnsi="仿宋" w:eastAsia="仿宋"/>
          <w:sz w:val="32"/>
          <w:szCs w:val="32"/>
          <w:lang w:eastAsia="zh-CN"/>
        </w:rPr>
      </w:pPr>
      <w:r>
        <w:rPr>
          <w:rFonts w:hint="eastAsia" w:ascii="仿宋" w:hAnsi="仿宋" w:eastAsia="仿宋"/>
          <w:sz w:val="32"/>
          <w:szCs w:val="32"/>
        </w:rPr>
        <w:t>2023年度本年收入合计</w:t>
      </w:r>
      <w:r>
        <w:rPr>
          <w:rFonts w:ascii="仿宋" w:hAnsi="仿宋" w:eastAsia="仿宋"/>
          <w:b/>
          <w:sz w:val="32"/>
          <w:szCs w:val="32"/>
        </w:rPr>
        <w:t>1095.85</w:t>
      </w:r>
      <w:r>
        <w:rPr>
          <w:rFonts w:hint="eastAsia" w:ascii="仿宋" w:hAnsi="仿宋" w:eastAsia="仿宋"/>
          <w:sz w:val="32"/>
          <w:szCs w:val="32"/>
        </w:rPr>
        <w:t>万元，其中：一般公共预算财政拨款收入</w:t>
      </w:r>
      <w:r>
        <w:rPr>
          <w:rFonts w:ascii="仿宋" w:hAnsi="仿宋" w:eastAsia="仿宋"/>
          <w:b/>
          <w:sz w:val="32"/>
          <w:szCs w:val="32"/>
        </w:rPr>
        <w:t>1095.85</w:t>
      </w:r>
      <w:r>
        <w:rPr>
          <w:rFonts w:hint="eastAsia" w:ascii="仿宋" w:hAnsi="仿宋" w:eastAsia="仿宋"/>
          <w:sz w:val="32"/>
          <w:szCs w:val="32"/>
        </w:rPr>
        <w:t>万元，占</w:t>
      </w:r>
      <w:r>
        <w:rPr>
          <w:rFonts w:ascii="仿宋" w:hAnsi="仿宋" w:eastAsia="仿宋"/>
          <w:b/>
          <w:sz w:val="32"/>
          <w:szCs w:val="32"/>
        </w:rPr>
        <w:t>100%</w:t>
      </w:r>
      <w:r>
        <w:rPr>
          <w:rFonts w:hint="eastAsia" w:ascii="仿宋" w:hAnsi="仿宋" w:eastAsia="仿宋"/>
          <w:sz w:val="32"/>
          <w:szCs w:val="32"/>
        </w:rPr>
        <w:t>；政府性基金预算财政拨款收入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；上级补助收入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；事业收入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；附属单位上缴收入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lang w:eastAsia="zh-CN"/>
        </w:rPr>
        <w:t>。</w:t>
      </w:r>
    </w:p>
    <w:p>
      <w:pPr>
        <w:pStyle w:val="2"/>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5006340" cy="2279015"/>
            <wp:effectExtent l="4445" t="4445" r="18415" b="2159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pPr>
        <w:pageBreakBefore w:val="0"/>
        <w:kinsoku/>
        <w:wordWrap/>
        <w:overflowPunct/>
        <w:topLinePunct w:val="0"/>
        <w:bidi w:val="0"/>
        <w:spacing w:line="560" w:lineRule="exact"/>
        <w:ind w:firstLine="1600" w:firstLineChars="500"/>
        <w:textAlignment w:val="auto"/>
        <w:rPr>
          <w:rFonts w:ascii="仿宋_GB2312" w:eastAsia="仿宋_GB2312"/>
          <w:sz w:val="32"/>
          <w:szCs w:val="32"/>
        </w:rPr>
      </w:pPr>
      <w:r>
        <w:rPr>
          <w:rFonts w:hint="eastAsia" w:ascii="仿宋" w:hAnsi="仿宋" w:eastAsia="仿宋"/>
          <w:sz w:val="32"/>
          <w:szCs w:val="32"/>
        </w:rPr>
        <w:t>（图2：收入决算结构图）（饼状图）</w:t>
      </w:r>
    </w:p>
    <w:p>
      <w:pPr>
        <w:pStyle w:val="26"/>
        <w:pageBreakBefore w:val="0"/>
        <w:numPr>
          <w:ilvl w:val="0"/>
          <w:numId w:val="2"/>
        </w:numPr>
        <w:kinsoku/>
        <w:wordWrap/>
        <w:overflowPunct/>
        <w:topLinePunct w:val="0"/>
        <w:bidi w:val="0"/>
        <w:spacing w:line="560" w:lineRule="exact"/>
        <w:ind w:firstLineChars="0"/>
        <w:textAlignment w:val="auto"/>
        <w:outlineLvl w:val="1"/>
        <w:rPr>
          <w:rStyle w:val="28"/>
          <w:rFonts w:ascii="黑体" w:hAnsi="黑体" w:eastAsia="黑体"/>
          <w:b w:val="0"/>
        </w:rPr>
      </w:pPr>
      <w:bookmarkStart w:id="22" w:name="_Toc15377207"/>
      <w:bookmarkStart w:id="23" w:name="_Toc15396605"/>
      <w:r>
        <w:rPr>
          <w:rFonts w:hint="eastAsia" w:ascii="黑体" w:hAnsi="黑体" w:eastAsia="黑体"/>
          <w:sz w:val="32"/>
          <w:szCs w:val="32"/>
        </w:rPr>
        <w:t>支</w:t>
      </w:r>
      <w:r>
        <w:rPr>
          <w:rStyle w:val="28"/>
          <w:rFonts w:hint="eastAsia" w:ascii="黑体" w:hAnsi="黑体" w:eastAsia="黑体"/>
          <w:b w:val="0"/>
        </w:rPr>
        <w:t>出决算情况说明</w:t>
      </w:r>
      <w:bookmarkEnd w:id="22"/>
      <w:bookmarkEnd w:id="23"/>
    </w:p>
    <w:p>
      <w:pPr>
        <w:pageBreakBefore w:val="0"/>
        <w:kinsoku/>
        <w:wordWrap/>
        <w:overflowPunct/>
        <w:topLinePunct w:val="0"/>
        <w:bidi w:val="0"/>
        <w:spacing w:line="560" w:lineRule="exact"/>
        <w:ind w:firstLine="640" w:firstLineChars="200"/>
        <w:textAlignment w:val="auto"/>
        <w:outlineLvl w:val="1"/>
        <w:rPr>
          <w:rFonts w:hint="eastAsia" w:ascii="仿宋" w:hAnsi="仿宋" w:eastAsia="仿宋"/>
          <w:sz w:val="32"/>
          <w:szCs w:val="32"/>
          <w:shd w:val="pct10" w:color="auto" w:fill="FFFFFF"/>
          <w:lang w:eastAsia="zh-CN"/>
        </w:rPr>
      </w:pPr>
      <w:r>
        <w:rPr>
          <w:rFonts w:hint="eastAsia" w:ascii="仿宋" w:hAnsi="仿宋" w:eastAsia="仿宋"/>
          <w:sz w:val="32"/>
          <w:szCs w:val="32"/>
        </w:rPr>
        <w:t>2023年度本年支出合计</w:t>
      </w:r>
      <w:r>
        <w:rPr>
          <w:rFonts w:ascii="仿宋" w:hAnsi="仿宋" w:eastAsia="仿宋"/>
          <w:b/>
          <w:sz w:val="32"/>
          <w:szCs w:val="32"/>
        </w:rPr>
        <w:t>1095.85</w:t>
      </w:r>
      <w:r>
        <w:rPr>
          <w:rFonts w:hint="eastAsia" w:ascii="仿宋" w:hAnsi="仿宋" w:eastAsia="仿宋"/>
          <w:sz w:val="32"/>
          <w:szCs w:val="32"/>
        </w:rPr>
        <w:t>万元，其中：基本支出</w:t>
      </w:r>
      <w:r>
        <w:rPr>
          <w:rFonts w:ascii="仿宋" w:hAnsi="仿宋" w:eastAsia="仿宋"/>
          <w:b/>
          <w:sz w:val="32"/>
          <w:szCs w:val="32"/>
        </w:rPr>
        <w:t>752.27</w:t>
      </w:r>
      <w:r>
        <w:rPr>
          <w:rFonts w:hint="eastAsia" w:ascii="仿宋" w:hAnsi="仿宋" w:eastAsia="仿宋"/>
          <w:sz w:val="32"/>
          <w:szCs w:val="32"/>
        </w:rPr>
        <w:t>万元，占</w:t>
      </w:r>
      <w:r>
        <w:rPr>
          <w:rFonts w:ascii="仿宋" w:hAnsi="仿宋" w:eastAsia="仿宋"/>
          <w:b/>
          <w:sz w:val="32"/>
          <w:szCs w:val="32"/>
        </w:rPr>
        <w:t>68.64</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343.58</w:t>
      </w:r>
      <w:r>
        <w:rPr>
          <w:rFonts w:hint="eastAsia" w:ascii="仿宋" w:hAnsi="仿宋" w:eastAsia="仿宋"/>
          <w:sz w:val="32"/>
          <w:szCs w:val="32"/>
        </w:rPr>
        <w:t>万元，占</w:t>
      </w:r>
      <w:r>
        <w:rPr>
          <w:rFonts w:ascii="仿宋" w:hAnsi="仿宋" w:eastAsia="仿宋"/>
          <w:b/>
          <w:sz w:val="32"/>
          <w:szCs w:val="32"/>
        </w:rPr>
        <w:t>31.35</w:t>
      </w:r>
      <w:r>
        <w:rPr>
          <w:rFonts w:ascii="仿宋" w:hAnsi="仿宋" w:eastAsia="仿宋"/>
          <w:sz w:val="32"/>
          <w:szCs w:val="32"/>
        </w:rPr>
        <w:t>%</w:t>
      </w:r>
      <w:r>
        <w:rPr>
          <w:rFonts w:hint="eastAsia" w:ascii="仿宋" w:hAnsi="仿宋" w:eastAsia="仿宋"/>
          <w:sz w:val="32"/>
          <w:szCs w:val="32"/>
        </w:rPr>
        <w:t>；上缴上级支出</w:t>
      </w:r>
      <w:r>
        <w:rPr>
          <w:rFonts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；对附属单位补助支出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p>
    <w:p>
      <w:pPr>
        <w:pStyle w:val="2"/>
        <w:rPr>
          <w:rFonts w:ascii="仿宋" w:hAnsi="仿宋" w:eastAsia="仿宋"/>
          <w:sz w:val="32"/>
          <w:szCs w:val="32"/>
          <w:shd w:val="pct10" w:color="auto" w:fill="FFFFFF"/>
        </w:rPr>
      </w:pPr>
      <w:r>
        <w:rPr>
          <w:rFonts w:hint="eastAsia" w:ascii="仿宋" w:hAnsi="仿宋" w:eastAsia="仿宋"/>
          <w:sz w:val="32"/>
          <w:szCs w:val="32"/>
          <w:shd w:val="pct10" w:color="auto" w:fill="FFFFFF"/>
          <w:lang w:eastAsia="zh-CN"/>
        </w:rPr>
        <w:drawing>
          <wp:inline distT="0" distB="0" distL="114300" distR="114300">
            <wp:extent cx="4844415" cy="1668780"/>
            <wp:effectExtent l="4445" t="4445" r="8890" b="222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pPr>
        <w:pageBreakBefore w:val="0"/>
        <w:kinsoku/>
        <w:wordWrap/>
        <w:overflowPunct/>
        <w:topLinePunct w:val="0"/>
        <w:bidi w:val="0"/>
        <w:spacing w:line="560" w:lineRule="exact"/>
        <w:ind w:firstLine="1280" w:firstLineChars="400"/>
        <w:textAlignment w:val="auto"/>
        <w:rPr>
          <w:rFonts w:ascii="仿宋_GB2312" w:eastAsia="仿宋_GB2312"/>
          <w:sz w:val="32"/>
          <w:szCs w:val="32"/>
        </w:rPr>
      </w:pPr>
      <w:r>
        <w:rPr>
          <w:rFonts w:hint="eastAsia" w:ascii="仿宋" w:hAnsi="仿宋" w:eastAsia="仿宋"/>
          <w:sz w:val="32"/>
          <w:szCs w:val="32"/>
        </w:rPr>
        <w:t>（图3：支出决算结构图）（饼状图）</w:t>
      </w:r>
    </w:p>
    <w:p>
      <w:pPr>
        <w:pageBreakBefore w:val="0"/>
        <w:kinsoku/>
        <w:wordWrap/>
        <w:overflowPunct/>
        <w:topLinePunct w:val="0"/>
        <w:bidi w:val="0"/>
        <w:spacing w:line="560" w:lineRule="exact"/>
        <w:ind w:firstLine="640" w:firstLineChars="200"/>
        <w:textAlignment w:val="auto"/>
        <w:outlineLvl w:val="1"/>
        <w:rPr>
          <w:rStyle w:val="28"/>
          <w:rFonts w:ascii="黑体" w:hAnsi="黑体" w:eastAsia="黑体"/>
          <w:b w:val="0"/>
        </w:rPr>
      </w:pPr>
      <w:bookmarkStart w:id="24" w:name="_Toc15396606"/>
      <w:bookmarkStart w:id="25" w:name="_Toc15377208"/>
      <w:r>
        <w:rPr>
          <w:rFonts w:hint="eastAsia" w:ascii="黑体" w:hAnsi="黑体" w:eastAsia="黑体"/>
          <w:sz w:val="32"/>
          <w:szCs w:val="32"/>
        </w:rPr>
        <w:t>四、财</w:t>
      </w:r>
      <w:r>
        <w:rPr>
          <w:rStyle w:val="28"/>
          <w:rFonts w:hint="eastAsia" w:ascii="黑体" w:hAnsi="黑体" w:eastAsia="黑体"/>
          <w:b w:val="0"/>
        </w:rPr>
        <w:t>政拨款收入支出决算总体情况说明</w:t>
      </w:r>
      <w:bookmarkEnd w:id="24"/>
      <w:bookmarkEnd w:id="25"/>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2023年度财政拨款收</w:t>
      </w:r>
      <w:r>
        <w:rPr>
          <w:rFonts w:hint="eastAsia" w:ascii="仿宋" w:hAnsi="仿宋" w:eastAsia="仿宋"/>
          <w:sz w:val="32"/>
          <w:szCs w:val="32"/>
          <w:lang w:eastAsia="zh-CN"/>
        </w:rPr>
        <w:t>入</w:t>
      </w:r>
      <w:r>
        <w:rPr>
          <w:rFonts w:hint="eastAsia" w:ascii="仿宋" w:hAnsi="仿宋" w:eastAsia="仿宋"/>
          <w:sz w:val="32"/>
          <w:szCs w:val="32"/>
        </w:rPr>
        <w:t>总计为</w:t>
      </w:r>
      <w:r>
        <w:rPr>
          <w:rFonts w:ascii="仿宋" w:hAnsi="仿宋" w:eastAsia="仿宋"/>
          <w:b/>
          <w:sz w:val="32"/>
          <w:szCs w:val="32"/>
        </w:rPr>
        <w:t>1095.85</w:t>
      </w:r>
      <w:r>
        <w:rPr>
          <w:rFonts w:hint="eastAsia" w:ascii="仿宋" w:hAnsi="仿宋" w:eastAsia="仿宋"/>
          <w:sz w:val="32"/>
          <w:szCs w:val="32"/>
        </w:rPr>
        <w:t>万元。与2022年度相比，财政拨款收</w:t>
      </w:r>
      <w:r>
        <w:rPr>
          <w:rFonts w:hint="eastAsia" w:ascii="仿宋" w:hAnsi="仿宋" w:eastAsia="仿宋"/>
          <w:sz w:val="32"/>
          <w:szCs w:val="32"/>
          <w:lang w:eastAsia="zh-CN"/>
        </w:rPr>
        <w:t>入</w:t>
      </w:r>
      <w:r>
        <w:rPr>
          <w:rFonts w:hint="eastAsia" w:ascii="仿宋" w:hAnsi="仿宋" w:eastAsia="仿宋"/>
          <w:sz w:val="32"/>
          <w:szCs w:val="32"/>
        </w:rPr>
        <w:t>总计减少</w:t>
      </w:r>
      <w:r>
        <w:rPr>
          <w:rFonts w:hint="eastAsia" w:ascii="仿宋" w:hAnsi="仿宋" w:eastAsia="仿宋"/>
          <w:sz w:val="32"/>
          <w:szCs w:val="32"/>
          <w:lang w:val="en-US" w:eastAsia="zh-CN"/>
        </w:rPr>
        <w:t>49.29</w:t>
      </w:r>
      <w:r>
        <w:rPr>
          <w:rFonts w:hint="eastAsia" w:ascii="仿宋" w:hAnsi="仿宋" w:eastAsia="仿宋"/>
          <w:sz w:val="32"/>
          <w:szCs w:val="32"/>
        </w:rPr>
        <w:t>万元，下降</w:t>
      </w:r>
      <w:r>
        <w:rPr>
          <w:rFonts w:hint="eastAsia" w:ascii="仿宋" w:hAnsi="仿宋" w:eastAsia="仿宋"/>
          <w:sz w:val="32"/>
          <w:szCs w:val="32"/>
          <w:lang w:val="en-US" w:eastAsia="zh-CN"/>
        </w:rPr>
        <w:t>4.30</w:t>
      </w:r>
      <w:r>
        <w:rPr>
          <w:rFonts w:ascii="仿宋" w:hAnsi="仿宋" w:eastAsia="仿宋"/>
          <w:sz w:val="32"/>
          <w:szCs w:val="32"/>
        </w:rPr>
        <w:t>%</w:t>
      </w:r>
      <w:r>
        <w:rPr>
          <w:rFonts w:hint="eastAsia" w:ascii="仿宋" w:hAnsi="仿宋" w:eastAsia="仿宋"/>
          <w:sz w:val="32"/>
          <w:szCs w:val="32"/>
        </w:rPr>
        <w:t>。主要变动原因是是</w:t>
      </w:r>
      <w:r>
        <w:rPr>
          <w:rFonts w:hint="eastAsia" w:ascii="Times New Roman" w:hAnsi="Times New Roman" w:eastAsia="仿宋_GB2312" w:cs="Times New Roman"/>
          <w:b w:val="0"/>
          <w:bCs w:val="0"/>
          <w:sz w:val="32"/>
          <w:szCs w:val="32"/>
          <w:lang w:val="en-US" w:eastAsia="zh-CN"/>
        </w:rPr>
        <w:t>本年度严格落实压减责任，秉承“少花钱，多办事”原则，减少了经费开支</w:t>
      </w:r>
      <w:r>
        <w:rPr>
          <w:rFonts w:hint="eastAsia" w:ascii="仿宋" w:hAnsi="仿宋" w:eastAsia="仿宋"/>
          <w:sz w:val="32"/>
          <w:szCs w:val="32"/>
        </w:rPr>
        <w:t>。</w:t>
      </w:r>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2023年度财政拨款支</w:t>
      </w:r>
      <w:r>
        <w:rPr>
          <w:rFonts w:hint="eastAsia" w:ascii="仿宋" w:hAnsi="仿宋" w:eastAsia="仿宋"/>
          <w:sz w:val="32"/>
          <w:szCs w:val="32"/>
          <w:lang w:eastAsia="zh-CN"/>
        </w:rPr>
        <w:t>出</w:t>
      </w:r>
      <w:r>
        <w:rPr>
          <w:rFonts w:hint="eastAsia" w:ascii="仿宋" w:hAnsi="仿宋" w:eastAsia="仿宋"/>
          <w:sz w:val="32"/>
          <w:szCs w:val="32"/>
        </w:rPr>
        <w:t>总计为</w:t>
      </w:r>
      <w:r>
        <w:rPr>
          <w:rFonts w:ascii="仿宋" w:hAnsi="仿宋" w:eastAsia="仿宋"/>
          <w:b/>
          <w:sz w:val="32"/>
          <w:szCs w:val="32"/>
        </w:rPr>
        <w:t>1095.85</w:t>
      </w:r>
      <w:r>
        <w:rPr>
          <w:rFonts w:hint="eastAsia" w:ascii="仿宋" w:hAnsi="仿宋" w:eastAsia="仿宋"/>
          <w:sz w:val="32"/>
          <w:szCs w:val="32"/>
        </w:rPr>
        <w:t>万元。与2022年度相比，财政拨款支</w:t>
      </w:r>
      <w:r>
        <w:rPr>
          <w:rFonts w:hint="eastAsia" w:ascii="仿宋" w:hAnsi="仿宋" w:eastAsia="仿宋"/>
          <w:sz w:val="32"/>
          <w:szCs w:val="32"/>
          <w:lang w:eastAsia="zh-CN"/>
        </w:rPr>
        <w:t>出</w:t>
      </w:r>
      <w:r>
        <w:rPr>
          <w:rFonts w:hint="eastAsia" w:ascii="仿宋" w:hAnsi="仿宋" w:eastAsia="仿宋"/>
          <w:sz w:val="32"/>
          <w:szCs w:val="32"/>
        </w:rPr>
        <w:t>总计减少</w:t>
      </w:r>
      <w:r>
        <w:rPr>
          <w:rFonts w:hint="eastAsia" w:ascii="仿宋" w:hAnsi="仿宋" w:eastAsia="仿宋"/>
          <w:sz w:val="32"/>
          <w:szCs w:val="32"/>
          <w:lang w:val="en-US" w:eastAsia="zh-CN"/>
        </w:rPr>
        <w:t>49.29</w:t>
      </w:r>
      <w:r>
        <w:rPr>
          <w:rFonts w:hint="eastAsia" w:ascii="仿宋" w:hAnsi="仿宋" w:eastAsia="仿宋"/>
          <w:sz w:val="32"/>
          <w:szCs w:val="32"/>
        </w:rPr>
        <w:t>万元，下降</w:t>
      </w:r>
      <w:r>
        <w:rPr>
          <w:rFonts w:hint="eastAsia" w:ascii="仿宋" w:hAnsi="仿宋" w:eastAsia="仿宋"/>
          <w:sz w:val="32"/>
          <w:szCs w:val="32"/>
          <w:lang w:val="en-US" w:eastAsia="zh-CN"/>
        </w:rPr>
        <w:t>4.30</w:t>
      </w:r>
      <w:r>
        <w:rPr>
          <w:rFonts w:ascii="仿宋" w:hAnsi="仿宋" w:eastAsia="仿宋"/>
          <w:sz w:val="32"/>
          <w:szCs w:val="32"/>
        </w:rPr>
        <w:t>%</w:t>
      </w:r>
      <w:r>
        <w:rPr>
          <w:rFonts w:hint="eastAsia" w:ascii="仿宋" w:hAnsi="仿宋" w:eastAsia="仿宋"/>
          <w:sz w:val="32"/>
          <w:szCs w:val="32"/>
        </w:rPr>
        <w:t>。主要变动原因是</w:t>
      </w:r>
      <w:r>
        <w:rPr>
          <w:rFonts w:hint="eastAsia" w:ascii="Times New Roman" w:hAnsi="Times New Roman" w:eastAsia="仿宋_GB2312" w:cs="Times New Roman"/>
          <w:b w:val="0"/>
          <w:bCs w:val="0"/>
          <w:sz w:val="32"/>
          <w:szCs w:val="32"/>
          <w:lang w:val="en-US" w:eastAsia="zh-CN"/>
        </w:rPr>
        <w:t>本年度严格落实压减责任，秉承“少花钱，多办事”原则，减少了经费开支</w:t>
      </w:r>
      <w:r>
        <w:rPr>
          <w:rFonts w:hint="eastAsia" w:ascii="仿宋" w:hAnsi="仿宋" w:eastAsia="仿宋"/>
          <w:sz w:val="32"/>
          <w:szCs w:val="32"/>
        </w:rPr>
        <w:t>。</w:t>
      </w:r>
    </w:p>
    <w:p>
      <w:pPr>
        <w:pStyle w:val="2"/>
        <w:rPr>
          <w:rFonts w:hint="eastAsia" w:ascii="仿宋" w:hAnsi="仿宋" w:eastAsia="仿宋"/>
          <w:sz w:val="32"/>
          <w:szCs w:val="32"/>
        </w:rPr>
      </w:pPr>
      <w:r>
        <w:rPr>
          <w:rFonts w:hint="eastAsia" w:ascii="仿宋" w:hAnsi="仿宋" w:eastAsia="仿宋"/>
          <w:sz w:val="32"/>
          <w:szCs w:val="32"/>
          <w:lang w:eastAsia="zh-CN"/>
        </w:rPr>
        <w:drawing>
          <wp:inline distT="0" distB="0" distL="114300" distR="114300">
            <wp:extent cx="4947285" cy="3543300"/>
            <wp:effectExtent l="5080" t="4445" r="19685" b="1460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pPr>
        <w:pageBreakBefore w:val="0"/>
        <w:kinsoku/>
        <w:wordWrap/>
        <w:overflowPunct/>
        <w:topLinePunct w:val="0"/>
        <w:bidi w:val="0"/>
        <w:spacing w:line="560" w:lineRule="exact"/>
        <w:ind w:firstLine="560" w:firstLineChars="200"/>
        <w:textAlignment w:val="auto"/>
        <w:rPr>
          <w:rFonts w:ascii="仿宋" w:hAnsi="仿宋" w:eastAsia="仿宋"/>
          <w:b/>
          <w:sz w:val="28"/>
          <w:szCs w:val="28"/>
        </w:rPr>
      </w:pPr>
      <w:r>
        <w:rPr>
          <w:rFonts w:hint="eastAsia" w:ascii="仿宋" w:hAnsi="仿宋" w:eastAsia="仿宋"/>
          <w:sz w:val="28"/>
          <w:szCs w:val="28"/>
        </w:rPr>
        <w:t>（图4：财政拨款收、支决算总计变动情况）（柱状图）</w:t>
      </w:r>
    </w:p>
    <w:p>
      <w:pPr>
        <w:pageBreakBefore w:val="0"/>
        <w:kinsoku/>
        <w:wordWrap/>
        <w:overflowPunct/>
        <w:topLinePunct w:val="0"/>
        <w:bidi w:val="0"/>
        <w:spacing w:line="560" w:lineRule="exact"/>
        <w:ind w:firstLine="640" w:firstLineChars="200"/>
        <w:textAlignment w:val="auto"/>
        <w:outlineLvl w:val="1"/>
        <w:rPr>
          <w:rStyle w:val="28"/>
          <w:rFonts w:ascii="黑体" w:hAnsi="黑体" w:eastAsia="黑体"/>
          <w:b w:val="0"/>
        </w:rPr>
      </w:pPr>
      <w:bookmarkStart w:id="26" w:name="_Toc15377209"/>
      <w:bookmarkStart w:id="27" w:name="_Toc15396607"/>
      <w:r>
        <w:rPr>
          <w:rFonts w:hint="eastAsia" w:ascii="黑体" w:hAnsi="黑体" w:eastAsia="黑体"/>
          <w:sz w:val="32"/>
          <w:szCs w:val="32"/>
        </w:rPr>
        <w:t>五、</w:t>
      </w:r>
      <w:r>
        <w:rPr>
          <w:rFonts w:hint="eastAsia" w:ascii="黑体" w:hAnsi="黑体" w:eastAsia="黑体"/>
          <w:b/>
          <w:sz w:val="32"/>
          <w:szCs w:val="32"/>
        </w:rPr>
        <w:t>一</w:t>
      </w:r>
      <w:r>
        <w:rPr>
          <w:rStyle w:val="28"/>
          <w:rFonts w:hint="eastAsia" w:ascii="黑体" w:hAnsi="黑体" w:eastAsia="黑体"/>
          <w:b w:val="0"/>
        </w:rPr>
        <w:t>般公共预算财政拨款支出决算情况说明</w:t>
      </w:r>
      <w:bookmarkEnd w:id="26"/>
      <w:bookmarkEnd w:id="27"/>
    </w:p>
    <w:p>
      <w:pPr>
        <w:pageBreakBefore w:val="0"/>
        <w:kinsoku/>
        <w:wordWrap/>
        <w:overflowPunct/>
        <w:topLinePunct w:val="0"/>
        <w:bidi w:val="0"/>
        <w:spacing w:line="560" w:lineRule="exact"/>
        <w:ind w:firstLine="643" w:firstLineChars="200"/>
        <w:textAlignment w:val="auto"/>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pPr>
        <w:pageBreakBefore w:val="0"/>
        <w:kinsoku/>
        <w:wordWrap/>
        <w:overflowPunct/>
        <w:topLinePunct w:val="0"/>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1095.85</w:t>
      </w:r>
      <w:r>
        <w:rPr>
          <w:rFonts w:hint="eastAsia" w:ascii="仿宋" w:hAnsi="仿宋" w:eastAsia="仿宋"/>
          <w:sz w:val="32"/>
          <w:szCs w:val="32"/>
        </w:rPr>
        <w:t>万元，占本年支出合计的</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。与2022年度相比，一般公共预算财</w:t>
      </w:r>
      <w:r>
        <w:rPr>
          <w:rFonts w:hint="eastAsia" w:ascii="仿宋" w:hAnsi="仿宋" w:eastAsia="仿宋"/>
          <w:sz w:val="32"/>
          <w:szCs w:val="32"/>
          <w:lang w:eastAsia="zh-CN"/>
        </w:rPr>
        <w:drawing>
          <wp:anchor distT="0" distB="0" distL="114300" distR="114300" simplePos="0" relativeHeight="251659264" behindDoc="1" locked="0" layoutInCell="1" allowOverlap="1">
            <wp:simplePos x="0" y="0"/>
            <wp:positionH relativeFrom="column">
              <wp:posOffset>410845</wp:posOffset>
            </wp:positionH>
            <wp:positionV relativeFrom="paragraph">
              <wp:posOffset>1120775</wp:posOffset>
            </wp:positionV>
            <wp:extent cx="4404360" cy="2400300"/>
            <wp:effectExtent l="4445" t="5080" r="67945" b="52070"/>
            <wp:wrapThrough wrapText="bothSides">
              <wp:wrapPolygon>
                <wp:start x="-22" y="-46"/>
                <wp:lineTo x="-22" y="21554"/>
                <wp:lineTo x="21560" y="21554"/>
                <wp:lineTo x="21560" y="-46"/>
                <wp:lineTo x="-22" y="-46"/>
              </wp:wrapPolygon>
            </wp:wrapThrough>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anchor>
        </w:drawing>
      </w:r>
      <w:r>
        <w:rPr>
          <w:rFonts w:hint="eastAsia" w:ascii="仿宋" w:hAnsi="仿宋" w:eastAsia="仿宋"/>
          <w:sz w:val="32"/>
          <w:szCs w:val="32"/>
        </w:rPr>
        <w:t>政拨款支出减少</w:t>
      </w:r>
      <w:r>
        <w:rPr>
          <w:rFonts w:hint="eastAsia" w:ascii="仿宋" w:hAnsi="仿宋" w:eastAsia="仿宋"/>
          <w:sz w:val="32"/>
          <w:szCs w:val="32"/>
          <w:lang w:val="en-US" w:eastAsia="zh-CN"/>
        </w:rPr>
        <w:t>49.29</w:t>
      </w:r>
      <w:r>
        <w:rPr>
          <w:rFonts w:hint="eastAsia" w:ascii="仿宋" w:hAnsi="仿宋" w:eastAsia="仿宋"/>
          <w:sz w:val="32"/>
          <w:szCs w:val="32"/>
        </w:rPr>
        <w:t>万元，下降</w:t>
      </w:r>
      <w:r>
        <w:rPr>
          <w:rFonts w:hint="eastAsia" w:ascii="仿宋" w:hAnsi="仿宋" w:eastAsia="仿宋"/>
          <w:sz w:val="32"/>
          <w:szCs w:val="32"/>
          <w:lang w:val="en-US" w:eastAsia="zh-CN"/>
        </w:rPr>
        <w:t>4.30</w:t>
      </w:r>
      <w:r>
        <w:rPr>
          <w:rFonts w:ascii="仿宋" w:hAnsi="仿宋" w:eastAsia="仿宋"/>
          <w:sz w:val="32"/>
          <w:szCs w:val="32"/>
        </w:rPr>
        <w:t>%</w:t>
      </w:r>
      <w:r>
        <w:rPr>
          <w:rFonts w:hint="eastAsia" w:ascii="仿宋" w:hAnsi="仿宋" w:eastAsia="仿宋"/>
          <w:sz w:val="32"/>
          <w:szCs w:val="32"/>
        </w:rPr>
        <w:t>。主要变动原因是</w:t>
      </w:r>
      <w:r>
        <w:rPr>
          <w:rFonts w:hint="eastAsia" w:ascii="Times New Roman" w:hAnsi="Times New Roman" w:eastAsia="仿宋_GB2312" w:cs="Times New Roman"/>
          <w:b w:val="0"/>
          <w:bCs w:val="0"/>
          <w:sz w:val="32"/>
          <w:szCs w:val="32"/>
          <w:lang w:val="en-US" w:eastAsia="zh-CN"/>
        </w:rPr>
        <w:t>本年度严格落实压减责任，秉承“少花钱，多办事”原则，减少了经费开支</w:t>
      </w:r>
      <w:r>
        <w:rPr>
          <w:rFonts w:hint="eastAsia" w:ascii="仿宋" w:hAnsi="仿宋" w:eastAsia="仿宋"/>
          <w:sz w:val="32"/>
          <w:szCs w:val="32"/>
        </w:rPr>
        <w:t>。</w:t>
      </w:r>
    </w:p>
    <w:p>
      <w:pPr>
        <w:pageBreakBefore w:val="0"/>
        <w:kinsoku/>
        <w:wordWrap/>
        <w:overflowPunct/>
        <w:topLinePunct w:val="0"/>
        <w:bidi w:val="0"/>
        <w:spacing w:line="560" w:lineRule="exact"/>
        <w:textAlignment w:val="auto"/>
        <w:rPr>
          <w:rFonts w:hint="eastAsia" w:ascii="仿宋" w:hAnsi="仿宋" w:eastAsia="仿宋"/>
          <w:sz w:val="32"/>
          <w:szCs w:val="32"/>
          <w:lang w:eastAsia="zh-CN"/>
        </w:rPr>
      </w:pPr>
    </w:p>
    <w:p>
      <w:pPr>
        <w:pageBreakBefore w:val="0"/>
        <w:kinsoku/>
        <w:wordWrap/>
        <w:overflowPunct/>
        <w:topLinePunct w:val="0"/>
        <w:bidi w:val="0"/>
        <w:spacing w:line="560" w:lineRule="exact"/>
        <w:ind w:firstLine="560" w:firstLineChars="200"/>
        <w:textAlignment w:val="auto"/>
        <w:rPr>
          <w:rFonts w:ascii="仿宋" w:hAnsi="仿宋" w:eastAsia="仿宋"/>
          <w:sz w:val="28"/>
          <w:szCs w:val="28"/>
        </w:rPr>
      </w:pPr>
      <w:r>
        <w:rPr>
          <w:rFonts w:hint="eastAsia" w:ascii="仿宋" w:hAnsi="仿宋" w:eastAsia="仿宋"/>
          <w:sz w:val="28"/>
          <w:szCs w:val="28"/>
        </w:rPr>
        <w:t>（图5：一般公共预算财政拨款支出决算变动情况）（柱状图）</w:t>
      </w:r>
    </w:p>
    <w:p>
      <w:pPr>
        <w:pageBreakBefore w:val="0"/>
        <w:kinsoku/>
        <w:wordWrap/>
        <w:overflowPunct/>
        <w:topLinePunct w:val="0"/>
        <w:bidi w:val="0"/>
        <w:spacing w:line="560" w:lineRule="exact"/>
        <w:ind w:firstLine="643" w:firstLineChars="200"/>
        <w:textAlignment w:val="auto"/>
        <w:outlineLvl w:val="2"/>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pPr>
        <w:pageBreakBefore w:val="0"/>
        <w:kinsoku/>
        <w:wordWrap/>
        <w:overflowPunct/>
        <w:topLinePunct w:val="0"/>
        <w:bidi w:val="0"/>
        <w:spacing w:line="560" w:lineRule="exact"/>
        <w:ind w:firstLine="640"/>
        <w:textAlignment w:val="auto"/>
        <w:rPr>
          <w:rFonts w:ascii="仿宋" w:hAnsi="仿宋" w:eastAsia="仿宋"/>
          <w:b/>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1095.85</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lang w:val="en-US" w:eastAsia="zh-CN"/>
        </w:rPr>
        <w:t>1059.51</w:t>
      </w:r>
      <w:r>
        <w:rPr>
          <w:rFonts w:hint="eastAsia" w:ascii="仿宋" w:hAnsi="仿宋" w:eastAsia="仿宋"/>
          <w:sz w:val="32"/>
          <w:szCs w:val="32"/>
        </w:rPr>
        <w:t>万元，占</w:t>
      </w:r>
      <w:r>
        <w:rPr>
          <w:rFonts w:hint="eastAsia" w:ascii="仿宋" w:hAnsi="仿宋" w:eastAsia="仿宋"/>
          <w:sz w:val="32"/>
          <w:szCs w:val="32"/>
          <w:lang w:val="en-US" w:eastAsia="zh-CN"/>
        </w:rPr>
        <w:t>96.68</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17.15</w:t>
      </w:r>
      <w:r>
        <w:rPr>
          <w:rFonts w:hint="eastAsia" w:ascii="仿宋" w:hAnsi="仿宋" w:eastAsia="仿宋"/>
          <w:sz w:val="32"/>
          <w:szCs w:val="32"/>
        </w:rPr>
        <w:t>万元，占</w:t>
      </w:r>
      <w:r>
        <w:rPr>
          <w:rFonts w:hint="eastAsia" w:ascii="仿宋" w:hAnsi="仿宋" w:eastAsia="仿宋"/>
          <w:sz w:val="32"/>
          <w:szCs w:val="32"/>
          <w:lang w:val="en-US" w:eastAsia="zh-CN"/>
        </w:rPr>
        <w:t>1.56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6.71</w:t>
      </w:r>
      <w:r>
        <w:rPr>
          <w:rFonts w:hint="eastAsia" w:ascii="仿宋" w:hAnsi="仿宋" w:eastAsia="仿宋"/>
          <w:sz w:val="32"/>
          <w:szCs w:val="32"/>
        </w:rPr>
        <w:t>万元，占</w:t>
      </w:r>
      <w:r>
        <w:rPr>
          <w:rFonts w:hint="eastAsia" w:ascii="仿宋" w:hAnsi="仿宋" w:eastAsia="仿宋"/>
          <w:sz w:val="32"/>
          <w:szCs w:val="32"/>
          <w:lang w:val="en-US" w:eastAsia="zh-CN"/>
        </w:rPr>
        <w:t>0.62</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12.47</w:t>
      </w:r>
      <w:r>
        <w:rPr>
          <w:rFonts w:hint="eastAsia" w:ascii="仿宋" w:hAnsi="仿宋" w:eastAsia="仿宋"/>
          <w:sz w:val="32"/>
          <w:szCs w:val="32"/>
        </w:rPr>
        <w:t>万元，占</w:t>
      </w:r>
      <w:r>
        <w:rPr>
          <w:rFonts w:hint="eastAsia" w:ascii="仿宋" w:hAnsi="仿宋" w:eastAsia="仿宋"/>
          <w:sz w:val="32"/>
          <w:szCs w:val="32"/>
          <w:lang w:val="en-US" w:eastAsia="zh-CN"/>
        </w:rPr>
        <w:t>1.14</w:t>
      </w:r>
      <w:r>
        <w:rPr>
          <w:rFonts w:ascii="仿宋" w:hAnsi="仿宋" w:eastAsia="仿宋"/>
          <w:sz w:val="32"/>
          <w:szCs w:val="32"/>
        </w:rPr>
        <w:t>%</w:t>
      </w:r>
      <w:r>
        <w:rPr>
          <w:rFonts w:hint="eastAsia" w:ascii="仿宋" w:hAnsi="仿宋" w:eastAsia="仿宋"/>
          <w:sz w:val="32"/>
          <w:szCs w:val="32"/>
        </w:rPr>
        <w:t>。</w:t>
      </w:r>
    </w:p>
    <w:p>
      <w:pPr>
        <w:pStyle w:val="2"/>
        <w:rPr>
          <w:rFonts w:ascii="仿宋" w:hAnsi="仿宋" w:eastAsia="仿宋"/>
          <w:sz w:val="32"/>
          <w:szCs w:val="32"/>
        </w:rPr>
      </w:pPr>
      <w:r>
        <w:rPr>
          <w:rFonts w:hint="eastAsia" w:ascii="仿宋" w:hAnsi="仿宋" w:eastAsia="仿宋"/>
          <w:sz w:val="32"/>
          <w:szCs w:val="32"/>
          <w:lang w:eastAsia="zh-CN"/>
        </w:rPr>
        <w:drawing>
          <wp:inline distT="0" distB="0" distL="114300" distR="114300">
            <wp:extent cx="5193665" cy="2524125"/>
            <wp:effectExtent l="4445" t="4445" r="21590" b="508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pPr>
        <w:pageBreakBefore w:val="0"/>
        <w:kinsoku/>
        <w:wordWrap/>
        <w:overflowPunct/>
        <w:topLinePunct w:val="0"/>
        <w:bidi w:val="0"/>
        <w:spacing w:line="560" w:lineRule="exact"/>
        <w:ind w:firstLine="560" w:firstLineChars="200"/>
        <w:textAlignment w:val="auto"/>
        <w:rPr>
          <w:rFonts w:ascii="仿宋" w:hAnsi="仿宋" w:eastAsia="仿宋"/>
          <w:sz w:val="32"/>
          <w:szCs w:val="32"/>
        </w:rPr>
      </w:pPr>
      <w:r>
        <w:rPr>
          <w:rFonts w:hint="eastAsia" w:ascii="仿宋" w:hAnsi="仿宋" w:eastAsia="仿宋"/>
          <w:sz w:val="28"/>
          <w:szCs w:val="28"/>
        </w:rPr>
        <w:t>（图6：一般公共预算财政拨款支出决算结构）（饼状图）</w:t>
      </w:r>
    </w:p>
    <w:p>
      <w:pPr>
        <w:pageBreakBefore w:val="0"/>
        <w:kinsoku/>
        <w:wordWrap/>
        <w:overflowPunct/>
        <w:topLinePunct w:val="0"/>
        <w:bidi w:val="0"/>
        <w:spacing w:line="560" w:lineRule="exact"/>
        <w:ind w:firstLine="643" w:firstLineChars="200"/>
        <w:textAlignment w:val="auto"/>
        <w:outlineLvl w:val="2"/>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pPr>
        <w:pageBreakBefore w:val="0"/>
        <w:kinsoku/>
        <w:wordWrap/>
        <w:overflowPunct/>
        <w:topLinePunct w:val="0"/>
        <w:bidi w:val="0"/>
        <w:spacing w:line="560" w:lineRule="exact"/>
        <w:ind w:firstLine="643" w:firstLineChars="200"/>
        <w:textAlignment w:val="auto"/>
        <w:outlineLvl w:val="2"/>
        <w:rPr>
          <w:rFonts w:ascii="仿宋" w:hAnsi="仿宋" w:eastAsia="仿宋"/>
          <w:sz w:val="32"/>
          <w:szCs w:val="32"/>
        </w:rPr>
      </w:pPr>
      <w:bookmarkStart w:id="31" w:name="_Toc15378460"/>
      <w:bookmarkStart w:id="32" w:name="_Toc15377213"/>
      <w:bookmarkStart w:id="33" w:name="_Toc15377444"/>
      <w:r>
        <w:rPr>
          <w:rFonts w:hint="eastAsia" w:ascii="仿宋" w:hAnsi="仿宋" w:eastAsia="仿宋"/>
          <w:b/>
          <w:sz w:val="32"/>
          <w:szCs w:val="32"/>
        </w:rPr>
        <w:t>2023年度一般公共预算支出决算数为</w:t>
      </w:r>
      <w:r>
        <w:rPr>
          <w:rFonts w:ascii="仿宋" w:hAnsi="仿宋" w:eastAsia="仿宋"/>
          <w:b/>
          <w:sz w:val="32"/>
          <w:szCs w:val="32"/>
        </w:rPr>
        <w:t>1095.85</w:t>
      </w:r>
      <w:r>
        <w:rPr>
          <w:rFonts w:hint="eastAsia" w:ascii="仿宋" w:hAnsi="仿宋" w:eastAsia="仿宋"/>
          <w:b/>
          <w:sz w:val="32"/>
          <w:szCs w:val="32"/>
          <w:lang w:eastAsia="zh-CN"/>
        </w:rPr>
        <w:t>万元</w:t>
      </w:r>
      <w:r>
        <w:rPr>
          <w:rFonts w:hint="eastAsia" w:ascii="仿宋" w:hAnsi="仿宋" w:eastAsia="仿宋"/>
          <w:sz w:val="32"/>
          <w:szCs w:val="32"/>
        </w:rPr>
        <w:t>，</w:t>
      </w:r>
      <w:r>
        <w:rPr>
          <w:rStyle w:val="16"/>
          <w:rFonts w:hint="eastAsia" w:ascii="仿宋" w:hAnsi="仿宋" w:eastAsia="仿宋"/>
          <w:bCs/>
          <w:sz w:val="32"/>
          <w:szCs w:val="32"/>
        </w:rPr>
        <w:t>完成预算</w:t>
      </w:r>
      <w:r>
        <w:rPr>
          <w:rStyle w:val="16"/>
          <w:rFonts w:hint="eastAsia" w:ascii="仿宋" w:hAnsi="仿宋" w:eastAsia="仿宋"/>
          <w:bCs/>
          <w:sz w:val="32"/>
          <w:szCs w:val="32"/>
          <w:lang w:val="en-US" w:eastAsia="zh-CN"/>
        </w:rPr>
        <w:t>100</w:t>
      </w:r>
      <w:r>
        <w:rPr>
          <w:rStyle w:val="16"/>
          <w:rFonts w:ascii="仿宋" w:hAnsi="仿宋" w:eastAsia="仿宋"/>
          <w:bCs/>
          <w:sz w:val="32"/>
          <w:szCs w:val="32"/>
        </w:rPr>
        <w:t>%</w:t>
      </w:r>
      <w:r>
        <w:rPr>
          <w:rStyle w:val="16"/>
          <w:rFonts w:hint="eastAsia" w:ascii="仿宋" w:hAnsi="仿宋" w:eastAsia="仿宋"/>
          <w:bCs/>
          <w:sz w:val="32"/>
          <w:szCs w:val="32"/>
        </w:rPr>
        <w:t>。其中：</w:t>
      </w:r>
      <w:bookmarkEnd w:id="31"/>
      <w:bookmarkEnd w:id="32"/>
      <w:bookmarkEnd w:id="33"/>
    </w:p>
    <w:p>
      <w:pPr>
        <w:pageBreakBefore w:val="0"/>
        <w:kinsoku/>
        <w:wordWrap/>
        <w:overflowPunct/>
        <w:topLinePunct w:val="0"/>
        <w:bidi w:val="0"/>
        <w:spacing w:line="560" w:lineRule="exact"/>
        <w:ind w:firstLine="643" w:firstLineChars="200"/>
        <w:textAlignment w:val="auto"/>
        <w:rPr>
          <w:rFonts w:ascii="仿宋" w:hAnsi="仿宋" w:eastAsia="仿宋"/>
          <w:b/>
          <w:sz w:val="32"/>
          <w:szCs w:val="32"/>
        </w:rPr>
      </w:pPr>
      <w:r>
        <w:rPr>
          <w:rStyle w:val="16"/>
          <w:rFonts w:ascii="仿宋" w:hAnsi="仿宋" w:eastAsia="仿宋"/>
          <w:bCs/>
          <w:sz w:val="32"/>
          <w:szCs w:val="32"/>
        </w:rPr>
        <w:t>1.</w:t>
      </w:r>
      <w:r>
        <w:rPr>
          <w:rStyle w:val="16"/>
          <w:rFonts w:hint="eastAsia" w:ascii="仿宋" w:hAnsi="仿宋" w:eastAsia="仿宋"/>
          <w:bCs/>
          <w:sz w:val="32"/>
          <w:szCs w:val="32"/>
        </w:rPr>
        <w:t>一般公共服务（类）</w:t>
      </w:r>
      <w:r>
        <w:rPr>
          <w:rStyle w:val="16"/>
          <w:rFonts w:hint="eastAsia" w:ascii="仿宋" w:hAnsi="仿宋" w:eastAsia="仿宋"/>
          <w:bCs/>
          <w:sz w:val="32"/>
          <w:szCs w:val="32"/>
          <w:lang w:eastAsia="zh-CN"/>
        </w:rPr>
        <w:t>政府办公厅（室）</w:t>
      </w:r>
      <w:r>
        <w:rPr>
          <w:rStyle w:val="16"/>
          <w:rFonts w:hint="eastAsia" w:ascii="仿宋" w:hAnsi="仿宋" w:eastAsia="仿宋"/>
          <w:bCs/>
          <w:color w:val="auto"/>
          <w:sz w:val="32"/>
          <w:szCs w:val="32"/>
          <w:highlight w:val="none"/>
        </w:rPr>
        <w:t>）及相关机构事务（款）行政运行（项）</w:t>
      </w:r>
      <w:r>
        <w:rPr>
          <w:rStyle w:val="16"/>
          <w:rFonts w:ascii="仿宋" w:hAnsi="仿宋" w:eastAsia="仿宋"/>
          <w:bCs/>
          <w:sz w:val="32"/>
          <w:szCs w:val="32"/>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715.93</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pageBreakBefore w:val="0"/>
        <w:kinsoku/>
        <w:wordWrap/>
        <w:overflowPunct/>
        <w:topLinePunct w:val="0"/>
        <w:bidi w:val="0"/>
        <w:spacing w:line="560" w:lineRule="exact"/>
        <w:ind w:firstLine="643" w:firstLineChars="200"/>
        <w:textAlignment w:val="auto"/>
        <w:rPr>
          <w:rFonts w:ascii="仿宋" w:hAnsi="仿宋" w:eastAsia="仿宋"/>
          <w:b/>
          <w:sz w:val="32"/>
          <w:szCs w:val="32"/>
        </w:rPr>
      </w:pPr>
      <w:r>
        <w:rPr>
          <w:rStyle w:val="16"/>
          <w:rFonts w:ascii="仿宋" w:hAnsi="仿宋" w:eastAsia="仿宋"/>
          <w:bCs/>
          <w:sz w:val="32"/>
          <w:szCs w:val="32"/>
        </w:rPr>
        <w:t>2.</w:t>
      </w:r>
      <w:r>
        <w:rPr>
          <w:rStyle w:val="16"/>
          <w:rFonts w:hint="eastAsia" w:ascii="仿宋" w:hAnsi="仿宋" w:eastAsia="仿宋"/>
          <w:bCs/>
          <w:color w:val="auto"/>
          <w:sz w:val="32"/>
          <w:szCs w:val="32"/>
          <w:highlight w:val="none"/>
        </w:rPr>
        <w:t>一般公共服务（类）政府办公厅（室）及相关机构事务（款）一般行政管理事务（项）</w:t>
      </w:r>
      <w:r>
        <w:rPr>
          <w:rStyle w:val="16"/>
          <w:rFonts w:ascii="仿宋" w:hAnsi="仿宋" w:eastAsia="仿宋"/>
          <w:bCs/>
          <w:sz w:val="32"/>
          <w:szCs w:val="32"/>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30</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pageBreakBefore w:val="0"/>
        <w:kinsoku/>
        <w:wordWrap/>
        <w:overflowPunct/>
        <w:topLinePunct w:val="0"/>
        <w:bidi w:val="0"/>
        <w:spacing w:line="560" w:lineRule="exact"/>
        <w:ind w:firstLine="643" w:firstLineChars="200"/>
        <w:textAlignment w:val="auto"/>
        <w:rPr>
          <w:rFonts w:ascii="仿宋" w:hAnsi="仿宋" w:eastAsia="仿宋"/>
          <w:b/>
          <w:sz w:val="32"/>
          <w:szCs w:val="32"/>
        </w:rPr>
      </w:pPr>
      <w:r>
        <w:rPr>
          <w:rStyle w:val="16"/>
          <w:rFonts w:ascii="仿宋" w:hAnsi="仿宋" w:eastAsia="仿宋"/>
          <w:bCs/>
          <w:sz w:val="32"/>
          <w:szCs w:val="32"/>
        </w:rPr>
        <w:t>3.</w:t>
      </w:r>
      <w:r>
        <w:rPr>
          <w:rStyle w:val="16"/>
          <w:rFonts w:hint="eastAsia" w:ascii="仿宋" w:hAnsi="仿宋" w:eastAsia="仿宋"/>
          <w:bCs/>
          <w:color w:val="auto"/>
          <w:sz w:val="32"/>
          <w:szCs w:val="32"/>
          <w:highlight w:val="none"/>
        </w:rPr>
        <w:t>一般公共服务（类）政府办公厅（室）及相关机构事务（款）机关服务（项）</w:t>
      </w:r>
      <w:r>
        <w:rPr>
          <w:rStyle w:val="16"/>
          <w:rFonts w:ascii="仿宋" w:hAnsi="仿宋" w:eastAsia="仿宋"/>
          <w:bCs/>
          <w:sz w:val="32"/>
          <w:szCs w:val="32"/>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313</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pageBreakBefore w:val="0"/>
        <w:kinsoku/>
        <w:wordWrap/>
        <w:overflowPunct/>
        <w:topLinePunct w:val="0"/>
        <w:bidi w:val="0"/>
        <w:spacing w:line="560" w:lineRule="exact"/>
        <w:ind w:firstLine="643" w:firstLineChars="200"/>
        <w:textAlignment w:val="auto"/>
        <w:rPr>
          <w:rFonts w:ascii="仿宋" w:hAnsi="仿宋" w:eastAsia="仿宋"/>
          <w:b/>
          <w:sz w:val="32"/>
          <w:szCs w:val="32"/>
        </w:rPr>
      </w:pPr>
      <w:r>
        <w:rPr>
          <w:rStyle w:val="16"/>
          <w:rFonts w:ascii="仿宋" w:hAnsi="仿宋" w:eastAsia="仿宋"/>
          <w:bCs/>
          <w:sz w:val="32"/>
          <w:szCs w:val="32"/>
        </w:rPr>
        <w:t>4.</w:t>
      </w:r>
      <w:r>
        <w:rPr>
          <w:rStyle w:val="16"/>
          <w:rFonts w:hint="eastAsia" w:ascii="仿宋" w:hAnsi="仿宋" w:eastAsia="仿宋"/>
          <w:bCs/>
          <w:color w:val="auto"/>
          <w:sz w:val="32"/>
          <w:szCs w:val="32"/>
          <w:highlight w:val="none"/>
        </w:rPr>
        <w:t>一般公共服务（类）政府办公厅（室）及相关机构事务（款）其他政府办公厅（室）及相关机构事务支出（项）</w:t>
      </w:r>
      <w:r>
        <w:rPr>
          <w:rStyle w:val="16"/>
          <w:rFonts w:ascii="仿宋" w:hAnsi="仿宋" w:eastAsia="仿宋"/>
          <w:bCs/>
          <w:sz w:val="32"/>
          <w:szCs w:val="32"/>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0.58</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pageBreakBefore w:val="0"/>
        <w:kinsoku/>
        <w:wordWrap/>
        <w:overflowPunct/>
        <w:topLinePunct w:val="0"/>
        <w:bidi w:val="0"/>
        <w:spacing w:line="560" w:lineRule="exact"/>
        <w:ind w:firstLine="643" w:firstLineChars="200"/>
        <w:textAlignment w:val="auto"/>
        <w:rPr>
          <w:rStyle w:val="16"/>
          <w:rFonts w:hint="eastAsia" w:ascii="仿宋" w:hAnsi="仿宋" w:eastAsia="仿宋"/>
          <w:b w:val="0"/>
          <w:bCs/>
          <w:sz w:val="32"/>
          <w:szCs w:val="32"/>
        </w:rPr>
      </w:pPr>
      <w:r>
        <w:rPr>
          <w:rStyle w:val="16"/>
          <w:rFonts w:ascii="仿宋" w:hAnsi="仿宋" w:eastAsia="仿宋"/>
          <w:bCs/>
          <w:sz w:val="32"/>
          <w:szCs w:val="32"/>
        </w:rPr>
        <w:t>5.</w:t>
      </w:r>
      <w:r>
        <w:rPr>
          <w:rStyle w:val="16"/>
          <w:rFonts w:hint="eastAsia" w:ascii="仿宋" w:hAnsi="仿宋" w:eastAsia="仿宋"/>
          <w:bCs/>
          <w:color w:val="auto"/>
          <w:sz w:val="32"/>
          <w:szCs w:val="32"/>
          <w:highlight w:val="none"/>
        </w:rPr>
        <w:t>社会保障和就业（类）行政事业单位养老支出（款）  机关事业单位基本养老保险缴费支出（项）</w:t>
      </w:r>
      <w:r>
        <w:rPr>
          <w:rStyle w:val="16"/>
          <w:rFonts w:ascii="仿宋" w:hAnsi="仿宋" w:eastAsia="仿宋"/>
          <w:bCs/>
          <w:sz w:val="32"/>
          <w:szCs w:val="32"/>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15.07</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pageBreakBefore w:val="0"/>
        <w:kinsoku/>
        <w:wordWrap/>
        <w:overflowPunct/>
        <w:topLinePunct w:val="0"/>
        <w:bidi w:val="0"/>
        <w:spacing w:line="560" w:lineRule="exact"/>
        <w:ind w:firstLine="643" w:firstLineChars="200"/>
        <w:textAlignment w:val="auto"/>
        <w:rPr>
          <w:rFonts w:hint="default" w:eastAsia="仿宋"/>
          <w:lang w:val="en-US" w:eastAsia="zh-CN"/>
        </w:rPr>
      </w:pPr>
      <w:r>
        <w:rPr>
          <w:rStyle w:val="16"/>
          <w:rFonts w:hint="eastAsia" w:ascii="仿宋" w:hAnsi="仿宋" w:eastAsia="仿宋" w:cstheme="minorBidi"/>
          <w:bCs/>
          <w:kern w:val="2"/>
          <w:sz w:val="32"/>
          <w:szCs w:val="32"/>
          <w:lang w:val="en-US" w:eastAsia="zh-CN" w:bidi="ar-SA"/>
        </w:rPr>
        <w:t>6.</w:t>
      </w:r>
      <w:r>
        <w:rPr>
          <w:rStyle w:val="16"/>
          <w:rFonts w:hint="eastAsia" w:ascii="仿宋" w:hAnsi="仿宋" w:eastAsia="仿宋"/>
          <w:bCs/>
          <w:color w:val="auto"/>
          <w:sz w:val="32"/>
          <w:szCs w:val="32"/>
          <w:highlight w:val="none"/>
        </w:rPr>
        <w:t>社会保障和就业（类）行政事业单位养老支出（款）  机关事业单位职业年金缴费支出（项）</w:t>
      </w:r>
      <w:r>
        <w:rPr>
          <w:rStyle w:val="16"/>
          <w:rFonts w:ascii="仿宋" w:hAnsi="仿宋" w:eastAsia="仿宋"/>
          <w:bCs/>
          <w:sz w:val="32"/>
          <w:szCs w:val="32"/>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2.08</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pageBreakBefore w:val="0"/>
        <w:kinsoku/>
        <w:wordWrap/>
        <w:overflowPunct/>
        <w:topLinePunct w:val="0"/>
        <w:bidi w:val="0"/>
        <w:spacing w:line="560" w:lineRule="exact"/>
        <w:ind w:firstLine="643" w:firstLineChars="200"/>
        <w:textAlignment w:val="auto"/>
        <w:rPr>
          <w:rFonts w:ascii="仿宋" w:hAnsi="仿宋" w:eastAsia="仿宋"/>
          <w:b/>
          <w:sz w:val="32"/>
          <w:szCs w:val="32"/>
        </w:rPr>
      </w:pPr>
      <w:r>
        <w:rPr>
          <w:rStyle w:val="16"/>
          <w:rFonts w:hint="eastAsia" w:ascii="仿宋" w:hAnsi="仿宋" w:eastAsia="仿宋"/>
          <w:bCs/>
          <w:sz w:val="32"/>
          <w:szCs w:val="32"/>
          <w:lang w:val="en-US" w:eastAsia="zh-CN"/>
        </w:rPr>
        <w:t>7</w:t>
      </w:r>
      <w:r>
        <w:rPr>
          <w:rStyle w:val="16"/>
          <w:rFonts w:ascii="仿宋" w:hAnsi="仿宋" w:eastAsia="仿宋"/>
          <w:bCs/>
          <w:sz w:val="32"/>
          <w:szCs w:val="32"/>
        </w:rPr>
        <w:t>.</w:t>
      </w:r>
      <w:r>
        <w:rPr>
          <w:rFonts w:hint="eastAsia" w:ascii="仿宋" w:hAnsi="仿宋" w:eastAsia="仿宋"/>
          <w:b/>
          <w:bCs/>
          <w:color w:val="auto"/>
          <w:sz w:val="32"/>
          <w:szCs w:val="32"/>
          <w:highlight w:val="none"/>
        </w:rPr>
        <w:t>卫生健康</w:t>
      </w:r>
      <w:r>
        <w:rPr>
          <w:rStyle w:val="16"/>
          <w:rFonts w:hint="eastAsia" w:ascii="仿宋" w:hAnsi="仿宋" w:eastAsia="仿宋"/>
          <w:bCs/>
          <w:color w:val="auto"/>
          <w:sz w:val="32"/>
          <w:szCs w:val="32"/>
          <w:highlight w:val="none"/>
        </w:rPr>
        <w:t>（类）行政事业单位医疗（款）行政单位医疗（项）</w:t>
      </w:r>
      <w:r>
        <w:rPr>
          <w:rStyle w:val="16"/>
          <w:rFonts w:ascii="仿宋" w:hAnsi="仿宋" w:eastAsia="仿宋"/>
          <w:bCs/>
          <w:sz w:val="32"/>
          <w:szCs w:val="32"/>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3.74</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spacing w:line="600" w:lineRule="exact"/>
        <w:ind w:firstLine="643" w:firstLineChars="200"/>
        <w:rPr>
          <w:rStyle w:val="16"/>
          <w:rFonts w:hint="eastAsia" w:ascii="仿宋" w:hAnsi="仿宋" w:eastAsia="仿宋"/>
          <w:b w:val="0"/>
          <w:bCs/>
          <w:color w:val="auto"/>
          <w:sz w:val="32"/>
          <w:szCs w:val="32"/>
          <w:highlight w:val="none"/>
        </w:rPr>
      </w:pPr>
      <w:r>
        <w:rPr>
          <w:rFonts w:hint="eastAsia" w:ascii="仿宋" w:hAnsi="仿宋" w:eastAsia="仿宋"/>
          <w:b/>
          <w:sz w:val="32"/>
          <w:szCs w:val="32"/>
          <w:lang w:val="en-US" w:eastAsia="zh-CN"/>
        </w:rPr>
        <w:t>8.</w:t>
      </w:r>
      <w:r>
        <w:rPr>
          <w:rFonts w:hint="eastAsia" w:ascii="仿宋" w:hAnsi="仿宋" w:eastAsia="仿宋"/>
          <w:b/>
          <w:bCs/>
          <w:color w:val="auto"/>
          <w:sz w:val="32"/>
          <w:szCs w:val="32"/>
          <w:highlight w:val="none"/>
        </w:rPr>
        <w:t>卫生健康</w:t>
      </w:r>
      <w:r>
        <w:rPr>
          <w:rStyle w:val="16"/>
          <w:rFonts w:hint="eastAsia" w:ascii="仿宋" w:hAnsi="仿宋" w:eastAsia="仿宋"/>
          <w:bCs/>
          <w:color w:val="auto"/>
          <w:sz w:val="32"/>
          <w:szCs w:val="32"/>
          <w:highlight w:val="none"/>
        </w:rPr>
        <w:t>（类）行政事业单位医疗（款）事业单位医疗（项）</w:t>
      </w:r>
      <w:r>
        <w:rPr>
          <w:rStyle w:val="16"/>
          <w:rFonts w:ascii="仿宋" w:hAnsi="仿宋" w:eastAsia="仿宋"/>
          <w:bCs/>
          <w:color w:val="auto"/>
          <w:sz w:val="32"/>
          <w:szCs w:val="32"/>
          <w:highlight w:val="none"/>
        </w:rPr>
        <w:t>:</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2.37</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w:t>
      </w:r>
    </w:p>
    <w:p>
      <w:pPr>
        <w:pStyle w:val="2"/>
        <w:ind w:firstLine="643" w:firstLineChars="200"/>
        <w:rPr>
          <w:rStyle w:val="16"/>
          <w:rFonts w:hint="eastAsia" w:ascii="仿宋" w:hAnsi="仿宋" w:eastAsia="仿宋"/>
          <w:b w:val="0"/>
          <w:bCs/>
          <w:color w:val="auto"/>
          <w:sz w:val="32"/>
          <w:szCs w:val="32"/>
          <w:highlight w:val="none"/>
        </w:rPr>
      </w:pPr>
      <w:r>
        <w:rPr>
          <w:rStyle w:val="16"/>
          <w:rFonts w:hint="eastAsia" w:ascii="仿宋" w:hAnsi="仿宋" w:eastAsia="仿宋"/>
          <w:bCs/>
          <w:color w:val="auto"/>
          <w:sz w:val="32"/>
          <w:szCs w:val="32"/>
          <w:highlight w:val="none"/>
          <w:lang w:val="en-US" w:eastAsia="zh-CN"/>
        </w:rPr>
        <w:t>9</w:t>
      </w:r>
      <w:r>
        <w:rPr>
          <w:rStyle w:val="16"/>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6"/>
          <w:rFonts w:hint="eastAsia" w:ascii="仿宋" w:hAnsi="仿宋" w:eastAsia="仿宋"/>
          <w:bCs/>
          <w:color w:val="auto"/>
          <w:sz w:val="32"/>
          <w:szCs w:val="32"/>
          <w:highlight w:val="none"/>
        </w:rPr>
        <w:t>（类）行政事业单位医疗（款</w:t>
      </w:r>
      <w:r>
        <w:rPr>
          <w:rStyle w:val="16"/>
          <w:rFonts w:hint="eastAsia" w:ascii="仿宋" w:hAnsi="仿宋" w:eastAsia="仿宋"/>
          <w:bCs/>
          <w:color w:val="auto"/>
          <w:sz w:val="32"/>
          <w:szCs w:val="32"/>
          <w:highlight w:val="none"/>
          <w:lang w:eastAsia="zh-CN"/>
        </w:rPr>
        <w:t>）</w:t>
      </w:r>
      <w:r>
        <w:rPr>
          <w:rStyle w:val="16"/>
          <w:rFonts w:hint="eastAsia" w:ascii="仿宋" w:hAnsi="仿宋" w:eastAsia="仿宋"/>
          <w:bCs/>
          <w:color w:val="auto"/>
          <w:sz w:val="32"/>
          <w:szCs w:val="32"/>
          <w:highlight w:val="none"/>
        </w:rPr>
        <w:t>公务员医疗补助（项）</w:t>
      </w:r>
      <w:r>
        <w:rPr>
          <w:rStyle w:val="16"/>
          <w:rFonts w:ascii="仿宋" w:hAnsi="仿宋" w:eastAsia="仿宋"/>
          <w:bCs/>
          <w:color w:val="auto"/>
          <w:sz w:val="32"/>
          <w:szCs w:val="32"/>
          <w:highlight w:val="none"/>
        </w:rPr>
        <w:t>:</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0.6</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w:t>
      </w:r>
    </w:p>
    <w:p>
      <w:pPr>
        <w:pStyle w:val="2"/>
        <w:ind w:firstLine="643" w:firstLineChars="200"/>
        <w:rPr>
          <w:rFonts w:ascii="仿宋" w:hAnsi="仿宋" w:eastAsia="仿宋"/>
          <w:b/>
          <w:sz w:val="32"/>
          <w:szCs w:val="32"/>
        </w:rPr>
      </w:pPr>
      <w:r>
        <w:rPr>
          <w:rStyle w:val="16"/>
          <w:rFonts w:hint="eastAsia" w:ascii="仿宋" w:hAnsi="仿宋" w:eastAsia="仿宋"/>
          <w:bCs/>
          <w:color w:val="auto"/>
          <w:sz w:val="32"/>
          <w:szCs w:val="32"/>
          <w:highlight w:val="none"/>
          <w:lang w:val="en-US" w:eastAsia="zh-CN"/>
        </w:rPr>
        <w:t>10</w:t>
      </w:r>
      <w:r>
        <w:rPr>
          <w:rStyle w:val="16"/>
          <w:rFonts w:ascii="仿宋" w:hAnsi="仿宋" w:eastAsia="仿宋"/>
          <w:bCs/>
          <w:color w:val="auto"/>
          <w:sz w:val="32"/>
          <w:szCs w:val="32"/>
          <w:highlight w:val="none"/>
        </w:rPr>
        <w:t>.</w:t>
      </w:r>
      <w:r>
        <w:rPr>
          <w:rFonts w:hint="eastAsia" w:ascii="仿宋" w:hAnsi="仿宋" w:eastAsia="仿宋"/>
          <w:b/>
          <w:bCs/>
          <w:color w:val="auto"/>
          <w:sz w:val="32"/>
          <w:szCs w:val="32"/>
          <w:highlight w:val="none"/>
        </w:rPr>
        <w:t>住房保障支出</w:t>
      </w:r>
      <w:r>
        <w:rPr>
          <w:rStyle w:val="16"/>
          <w:rFonts w:hint="eastAsia" w:ascii="仿宋" w:hAnsi="仿宋" w:eastAsia="仿宋"/>
          <w:bCs/>
          <w:color w:val="auto"/>
          <w:sz w:val="32"/>
          <w:szCs w:val="32"/>
          <w:highlight w:val="none"/>
        </w:rPr>
        <w:t>（类）住房改革支出（款</w:t>
      </w:r>
      <w:r>
        <w:rPr>
          <w:rStyle w:val="16"/>
          <w:rFonts w:hint="eastAsia" w:ascii="仿宋" w:hAnsi="仿宋" w:eastAsia="仿宋"/>
          <w:bCs/>
          <w:color w:val="auto"/>
          <w:sz w:val="32"/>
          <w:szCs w:val="32"/>
          <w:highlight w:val="none"/>
          <w:lang w:eastAsia="zh-CN"/>
        </w:rPr>
        <w:t>）</w:t>
      </w:r>
      <w:r>
        <w:rPr>
          <w:rStyle w:val="16"/>
          <w:rFonts w:hint="eastAsia" w:ascii="仿宋" w:hAnsi="仿宋" w:eastAsia="仿宋"/>
          <w:bCs/>
          <w:color w:val="auto"/>
          <w:sz w:val="32"/>
          <w:szCs w:val="32"/>
          <w:highlight w:val="none"/>
        </w:rPr>
        <w:t>住房公积金（项）</w:t>
      </w:r>
      <w:r>
        <w:rPr>
          <w:rStyle w:val="16"/>
          <w:rFonts w:ascii="仿宋" w:hAnsi="仿宋" w:eastAsia="仿宋"/>
          <w:bCs/>
          <w:color w:val="auto"/>
          <w:sz w:val="32"/>
          <w:szCs w:val="32"/>
          <w:highlight w:val="none"/>
        </w:rPr>
        <w:t>:</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12.47</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w:t>
      </w:r>
    </w:p>
    <w:p>
      <w:pPr>
        <w:pageBreakBefore w:val="0"/>
        <w:tabs>
          <w:tab w:val="right" w:pos="8306"/>
        </w:tabs>
        <w:kinsoku/>
        <w:wordWrap/>
        <w:overflowPunct/>
        <w:topLinePunct w:val="0"/>
        <w:bidi w:val="0"/>
        <w:spacing w:line="560" w:lineRule="exact"/>
        <w:ind w:firstLine="640"/>
        <w:textAlignment w:val="auto"/>
        <w:outlineLvl w:val="1"/>
        <w:rPr>
          <w:rStyle w:val="28"/>
        </w:rPr>
      </w:pPr>
      <w:bookmarkStart w:id="34" w:name="_Toc15377214"/>
      <w:bookmarkStart w:id="35"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8"/>
          <w:rFonts w:hint="eastAsia" w:ascii="黑体" w:hAnsi="黑体" w:eastAsia="黑体"/>
          <w:b w:val="0"/>
        </w:rPr>
        <w:t>般公共预算财政拨款基本支出决算情况说明</w:t>
      </w:r>
      <w:bookmarkEnd w:id="34"/>
      <w:bookmarkEnd w:id="35"/>
      <w:r>
        <w:rPr>
          <w:rStyle w:val="28"/>
          <w:rFonts w:ascii="黑体" w:hAnsi="黑体" w:eastAsia="黑体"/>
          <w:b w:val="0"/>
        </w:rPr>
        <w:tab/>
      </w:r>
    </w:p>
    <w:p>
      <w:pPr>
        <w:pageBreakBefore w:val="0"/>
        <w:kinsoku/>
        <w:wordWrap/>
        <w:overflowPunct/>
        <w:topLinePunct w:val="0"/>
        <w:bidi w:val="0"/>
        <w:spacing w:line="560" w:lineRule="exact"/>
        <w:ind w:firstLine="645"/>
        <w:textAlignment w:val="auto"/>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752.27</w:t>
      </w:r>
      <w:r>
        <w:rPr>
          <w:rFonts w:hint="eastAsia" w:ascii="仿宋" w:hAnsi="仿宋" w:eastAsia="仿宋"/>
          <w:sz w:val="32"/>
          <w:szCs w:val="32"/>
        </w:rPr>
        <w:t>万元，其中：</w:t>
      </w:r>
    </w:p>
    <w:p>
      <w:pPr>
        <w:pageBreakBefore w:val="0"/>
        <w:kinsoku/>
        <w:wordWrap/>
        <w:overflowPunct/>
        <w:topLinePunct w:val="0"/>
        <w:bidi w:val="0"/>
        <w:spacing w:line="560" w:lineRule="exact"/>
        <w:ind w:firstLine="645"/>
        <w:jc w:val="left"/>
        <w:textAlignment w:val="auto"/>
        <w:rPr>
          <w:rFonts w:ascii="仿宋" w:hAnsi="仿宋" w:eastAsia="仿宋"/>
          <w:b/>
          <w:sz w:val="32"/>
          <w:szCs w:val="32"/>
        </w:rPr>
      </w:pPr>
      <w:r>
        <w:rPr>
          <w:rFonts w:hint="eastAsia" w:ascii="仿宋" w:hAnsi="仿宋" w:eastAsia="仿宋"/>
          <w:sz w:val="32"/>
          <w:szCs w:val="32"/>
        </w:rPr>
        <w:t>人员经费</w:t>
      </w:r>
      <w:r>
        <w:rPr>
          <w:rFonts w:ascii="仿宋" w:hAnsi="仿宋" w:eastAsia="仿宋"/>
          <w:b/>
          <w:sz w:val="32"/>
          <w:szCs w:val="32"/>
        </w:rPr>
        <w:t>363.03</w:t>
      </w:r>
      <w:r>
        <w:rPr>
          <w:rFonts w:hint="eastAsia" w:ascii="仿宋" w:hAnsi="仿宋" w:eastAsia="仿宋"/>
          <w:sz w:val="32"/>
          <w:szCs w:val="32"/>
        </w:rPr>
        <w:t>万元，主要包括：基本工资</w:t>
      </w:r>
      <w:r>
        <w:rPr>
          <w:rFonts w:hint="eastAsia" w:ascii="仿宋" w:hAnsi="仿宋" w:eastAsia="仿宋"/>
          <w:sz w:val="32"/>
          <w:szCs w:val="32"/>
          <w:lang w:val="en-US" w:eastAsia="zh-CN"/>
        </w:rPr>
        <w:t>39.40万元</w:t>
      </w:r>
      <w:r>
        <w:rPr>
          <w:rFonts w:hint="eastAsia" w:ascii="仿宋" w:hAnsi="仿宋" w:eastAsia="仿宋"/>
          <w:sz w:val="32"/>
          <w:szCs w:val="32"/>
        </w:rPr>
        <w:t>、津贴补贴</w:t>
      </w:r>
      <w:r>
        <w:rPr>
          <w:rFonts w:hint="eastAsia" w:ascii="仿宋" w:hAnsi="仿宋" w:eastAsia="仿宋"/>
          <w:sz w:val="32"/>
          <w:szCs w:val="32"/>
          <w:lang w:val="en-US" w:eastAsia="zh-CN"/>
        </w:rPr>
        <w:t>13.96万元</w:t>
      </w:r>
      <w:r>
        <w:rPr>
          <w:rFonts w:hint="eastAsia" w:ascii="仿宋" w:hAnsi="仿宋" w:eastAsia="仿宋"/>
          <w:sz w:val="32"/>
          <w:szCs w:val="32"/>
        </w:rPr>
        <w:t>、奖金</w:t>
      </w:r>
      <w:r>
        <w:rPr>
          <w:rFonts w:hint="eastAsia" w:ascii="仿宋" w:hAnsi="仿宋" w:eastAsia="仿宋"/>
          <w:sz w:val="32"/>
          <w:szCs w:val="32"/>
          <w:lang w:val="en-US" w:eastAsia="zh-CN"/>
        </w:rPr>
        <w:t>39.09万元</w:t>
      </w:r>
      <w:r>
        <w:rPr>
          <w:rFonts w:hint="eastAsia" w:ascii="仿宋" w:hAnsi="仿宋" w:eastAsia="仿宋"/>
          <w:sz w:val="32"/>
          <w:szCs w:val="32"/>
        </w:rPr>
        <w:t>、绩效工资</w:t>
      </w:r>
      <w:r>
        <w:rPr>
          <w:rFonts w:hint="eastAsia" w:ascii="仿宋" w:hAnsi="仿宋" w:eastAsia="仿宋"/>
          <w:sz w:val="32"/>
          <w:szCs w:val="32"/>
          <w:lang w:val="en-US" w:eastAsia="zh-CN"/>
        </w:rPr>
        <w:t>12.29万元</w:t>
      </w:r>
      <w:r>
        <w:rPr>
          <w:rFonts w:hint="eastAsia" w:ascii="仿宋" w:hAnsi="仿宋" w:eastAsia="仿宋"/>
          <w:sz w:val="32"/>
          <w:szCs w:val="32"/>
        </w:rPr>
        <w:t>、机关事业单位基本养老保险缴费</w:t>
      </w:r>
      <w:r>
        <w:rPr>
          <w:rFonts w:hint="eastAsia" w:ascii="仿宋" w:hAnsi="仿宋" w:eastAsia="仿宋"/>
          <w:sz w:val="32"/>
          <w:szCs w:val="32"/>
          <w:lang w:val="en-US" w:eastAsia="zh-CN"/>
        </w:rPr>
        <w:t>15.07万元</w:t>
      </w:r>
      <w:r>
        <w:rPr>
          <w:rFonts w:hint="eastAsia" w:ascii="仿宋" w:hAnsi="仿宋" w:eastAsia="仿宋"/>
          <w:sz w:val="32"/>
          <w:szCs w:val="32"/>
        </w:rPr>
        <w:t>、职业年金缴费</w:t>
      </w:r>
      <w:r>
        <w:rPr>
          <w:rFonts w:hint="eastAsia" w:ascii="仿宋" w:hAnsi="仿宋" w:eastAsia="仿宋"/>
          <w:sz w:val="32"/>
          <w:szCs w:val="32"/>
          <w:lang w:val="en-US" w:eastAsia="zh-CN"/>
        </w:rPr>
        <w:t>2.08万元</w:t>
      </w:r>
      <w:r>
        <w:rPr>
          <w:rFonts w:hint="eastAsia" w:ascii="仿宋" w:hAnsi="仿宋" w:eastAsia="仿宋"/>
          <w:sz w:val="32"/>
          <w:szCs w:val="32"/>
        </w:rPr>
        <w:t>、</w:t>
      </w:r>
      <w:r>
        <w:rPr>
          <w:rFonts w:hint="eastAsia" w:ascii="仿宋" w:hAnsi="仿宋" w:eastAsia="仿宋"/>
          <w:sz w:val="32"/>
          <w:szCs w:val="32"/>
          <w:lang w:eastAsia="zh-CN"/>
        </w:rPr>
        <w:t>职工基本医疗保险缴费</w:t>
      </w:r>
      <w:r>
        <w:rPr>
          <w:rFonts w:hint="eastAsia" w:ascii="仿宋" w:hAnsi="仿宋" w:eastAsia="仿宋"/>
          <w:sz w:val="32"/>
          <w:szCs w:val="32"/>
          <w:lang w:val="en-US" w:eastAsia="zh-CN"/>
        </w:rPr>
        <w:t>6.12万元、</w:t>
      </w:r>
      <w:r>
        <w:rPr>
          <w:rFonts w:hint="eastAsia" w:ascii="仿宋" w:hAnsi="仿宋" w:eastAsia="仿宋"/>
          <w:sz w:val="32"/>
          <w:szCs w:val="32"/>
          <w:lang w:eastAsia="zh-CN"/>
        </w:rPr>
        <w:t>公务员</w:t>
      </w:r>
      <w:r>
        <w:rPr>
          <w:rFonts w:hint="eastAsia" w:ascii="仿宋" w:hAnsi="仿宋" w:eastAsia="仿宋"/>
          <w:sz w:val="32"/>
          <w:szCs w:val="32"/>
        </w:rPr>
        <w:t>医疗费补助</w:t>
      </w:r>
      <w:r>
        <w:rPr>
          <w:rFonts w:hint="eastAsia" w:ascii="仿宋" w:hAnsi="仿宋" w:eastAsia="仿宋"/>
          <w:sz w:val="32"/>
          <w:szCs w:val="32"/>
          <w:lang w:eastAsia="zh-CN"/>
        </w:rPr>
        <w:t>缴费</w:t>
      </w:r>
      <w:r>
        <w:rPr>
          <w:rFonts w:hint="eastAsia" w:ascii="仿宋" w:hAnsi="仿宋" w:eastAsia="仿宋"/>
          <w:sz w:val="32"/>
          <w:szCs w:val="32"/>
          <w:lang w:val="en-US" w:eastAsia="zh-CN"/>
        </w:rPr>
        <w:t>0.6万元</w:t>
      </w:r>
      <w:r>
        <w:rPr>
          <w:rFonts w:hint="eastAsia" w:ascii="仿宋" w:hAnsi="仿宋" w:eastAsia="仿宋"/>
          <w:sz w:val="32"/>
          <w:szCs w:val="32"/>
        </w:rPr>
        <w:t>、其他社会保障缴费</w:t>
      </w:r>
      <w:r>
        <w:rPr>
          <w:rFonts w:hint="eastAsia" w:ascii="仿宋" w:hAnsi="仿宋" w:eastAsia="仿宋"/>
          <w:sz w:val="32"/>
          <w:szCs w:val="32"/>
          <w:lang w:val="en-US" w:eastAsia="zh-CN"/>
        </w:rPr>
        <w:t>0.59万元</w:t>
      </w:r>
      <w:r>
        <w:rPr>
          <w:rFonts w:hint="eastAsia" w:ascii="仿宋" w:hAnsi="仿宋" w:eastAsia="仿宋"/>
          <w:sz w:val="32"/>
          <w:szCs w:val="32"/>
        </w:rPr>
        <w:t>、住房公积金</w:t>
      </w:r>
      <w:r>
        <w:rPr>
          <w:rFonts w:hint="eastAsia" w:ascii="仿宋" w:hAnsi="仿宋" w:eastAsia="仿宋"/>
          <w:sz w:val="32"/>
          <w:szCs w:val="32"/>
          <w:lang w:val="en-US" w:eastAsia="zh-CN"/>
        </w:rPr>
        <w:t>12.47万元</w:t>
      </w:r>
      <w:r>
        <w:rPr>
          <w:rFonts w:hint="eastAsia" w:ascii="仿宋" w:hAnsi="仿宋" w:eastAsia="仿宋"/>
          <w:sz w:val="32"/>
          <w:szCs w:val="32"/>
        </w:rPr>
        <w:t>、其他工资福利支出</w:t>
      </w:r>
      <w:r>
        <w:rPr>
          <w:rFonts w:hint="eastAsia" w:ascii="仿宋" w:hAnsi="仿宋" w:eastAsia="仿宋"/>
          <w:sz w:val="32"/>
          <w:szCs w:val="32"/>
          <w:lang w:val="en-US" w:eastAsia="zh-CN"/>
        </w:rPr>
        <w:t>221.05万元</w:t>
      </w:r>
      <w:r>
        <w:rPr>
          <w:rFonts w:hint="eastAsia" w:ascii="仿宋" w:hAnsi="仿宋" w:eastAsia="仿宋"/>
          <w:sz w:val="32"/>
          <w:szCs w:val="32"/>
        </w:rPr>
        <w:t>、生活补助</w:t>
      </w:r>
      <w:r>
        <w:rPr>
          <w:rFonts w:hint="eastAsia" w:ascii="仿宋" w:hAnsi="仿宋" w:eastAsia="仿宋"/>
          <w:sz w:val="32"/>
          <w:szCs w:val="32"/>
          <w:lang w:val="en-US" w:eastAsia="zh-CN"/>
        </w:rPr>
        <w:t>0.25万元</w:t>
      </w:r>
      <w:r>
        <w:rPr>
          <w:rFonts w:hint="eastAsia" w:ascii="仿宋" w:hAnsi="仿宋" w:eastAsia="仿宋"/>
          <w:sz w:val="32"/>
          <w:szCs w:val="32"/>
        </w:rPr>
        <w:t>、奖励金</w:t>
      </w:r>
      <w:r>
        <w:rPr>
          <w:rFonts w:hint="eastAsia" w:ascii="仿宋" w:hAnsi="仿宋" w:eastAsia="仿宋"/>
          <w:sz w:val="32"/>
          <w:szCs w:val="32"/>
          <w:lang w:val="en-US" w:eastAsia="zh-CN"/>
        </w:rPr>
        <w:t>0.06万元</w:t>
      </w:r>
      <w:r>
        <w:rPr>
          <w:rFonts w:hint="eastAsia" w:ascii="仿宋" w:hAnsi="仿宋" w:eastAsia="仿宋"/>
          <w:sz w:val="32"/>
          <w:szCs w:val="32"/>
        </w:rPr>
        <w:t>。</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b/>
          <w:sz w:val="32"/>
          <w:szCs w:val="32"/>
        </w:rPr>
        <w:t>389.23</w:t>
      </w:r>
      <w:r>
        <w:rPr>
          <w:rFonts w:hint="eastAsia" w:ascii="仿宋" w:hAnsi="仿宋" w:eastAsia="仿宋"/>
          <w:sz w:val="32"/>
          <w:szCs w:val="32"/>
        </w:rPr>
        <w:t>万元，主要包括：办公费</w:t>
      </w:r>
      <w:r>
        <w:rPr>
          <w:rFonts w:hint="eastAsia" w:ascii="仿宋" w:hAnsi="仿宋" w:eastAsia="仿宋"/>
          <w:sz w:val="32"/>
          <w:szCs w:val="32"/>
          <w:lang w:val="en-US" w:eastAsia="zh-CN"/>
        </w:rPr>
        <w:t>3.11万元</w:t>
      </w:r>
      <w:r>
        <w:rPr>
          <w:rFonts w:hint="eastAsia" w:ascii="仿宋" w:hAnsi="仿宋" w:eastAsia="仿宋"/>
          <w:sz w:val="32"/>
          <w:szCs w:val="32"/>
        </w:rPr>
        <w:t>、印刷费</w:t>
      </w:r>
      <w:r>
        <w:rPr>
          <w:rFonts w:hint="eastAsia" w:ascii="仿宋" w:hAnsi="仿宋" w:eastAsia="仿宋"/>
          <w:sz w:val="32"/>
          <w:szCs w:val="32"/>
          <w:lang w:val="en-US" w:eastAsia="zh-CN"/>
        </w:rPr>
        <w:t>0.39万元</w:t>
      </w:r>
      <w:r>
        <w:rPr>
          <w:rFonts w:hint="eastAsia" w:ascii="仿宋" w:hAnsi="仿宋" w:eastAsia="仿宋"/>
          <w:sz w:val="32"/>
          <w:szCs w:val="32"/>
        </w:rPr>
        <w:t>、水费</w:t>
      </w:r>
      <w:r>
        <w:rPr>
          <w:rFonts w:hint="eastAsia" w:ascii="仿宋" w:hAnsi="仿宋" w:eastAsia="仿宋"/>
          <w:sz w:val="32"/>
          <w:szCs w:val="32"/>
          <w:lang w:val="en-US" w:eastAsia="zh-CN"/>
        </w:rPr>
        <w:t>0.1万元</w:t>
      </w:r>
      <w:r>
        <w:rPr>
          <w:rFonts w:hint="eastAsia" w:ascii="仿宋" w:hAnsi="仿宋" w:eastAsia="仿宋"/>
          <w:sz w:val="32"/>
          <w:szCs w:val="32"/>
        </w:rPr>
        <w:t>、电费</w:t>
      </w:r>
      <w:r>
        <w:rPr>
          <w:rFonts w:hint="eastAsia" w:ascii="仿宋" w:hAnsi="仿宋" w:eastAsia="仿宋"/>
          <w:sz w:val="32"/>
          <w:szCs w:val="32"/>
          <w:lang w:val="en-US" w:eastAsia="zh-CN"/>
        </w:rPr>
        <w:t>1万元</w:t>
      </w:r>
      <w:r>
        <w:rPr>
          <w:rFonts w:hint="eastAsia" w:ascii="仿宋" w:hAnsi="仿宋" w:eastAsia="仿宋"/>
          <w:sz w:val="32"/>
          <w:szCs w:val="32"/>
        </w:rPr>
        <w:t>、邮电费</w:t>
      </w:r>
      <w:r>
        <w:rPr>
          <w:rFonts w:hint="eastAsia" w:ascii="仿宋" w:hAnsi="仿宋" w:eastAsia="仿宋"/>
          <w:sz w:val="32"/>
          <w:szCs w:val="32"/>
          <w:lang w:val="en-US" w:eastAsia="zh-CN"/>
        </w:rPr>
        <w:t>0.25万元</w:t>
      </w:r>
      <w:r>
        <w:rPr>
          <w:rFonts w:hint="eastAsia" w:ascii="仿宋" w:hAnsi="仿宋" w:eastAsia="仿宋"/>
          <w:sz w:val="32"/>
          <w:szCs w:val="32"/>
        </w:rPr>
        <w:t>、物业管理费</w:t>
      </w:r>
      <w:r>
        <w:rPr>
          <w:rFonts w:hint="eastAsia" w:ascii="仿宋" w:hAnsi="仿宋" w:eastAsia="仿宋"/>
          <w:sz w:val="32"/>
          <w:szCs w:val="32"/>
          <w:lang w:val="en-US" w:eastAsia="zh-CN"/>
        </w:rPr>
        <w:t>6.23万元</w:t>
      </w:r>
      <w:r>
        <w:rPr>
          <w:rFonts w:hint="eastAsia" w:ascii="仿宋" w:hAnsi="仿宋" w:eastAsia="仿宋"/>
          <w:sz w:val="32"/>
          <w:szCs w:val="32"/>
        </w:rPr>
        <w:t>、差旅费</w:t>
      </w:r>
      <w:r>
        <w:rPr>
          <w:rFonts w:hint="eastAsia" w:ascii="仿宋" w:hAnsi="仿宋" w:eastAsia="仿宋"/>
          <w:sz w:val="32"/>
          <w:szCs w:val="32"/>
          <w:lang w:val="en-US" w:eastAsia="zh-CN"/>
        </w:rPr>
        <w:t>73.95万元</w:t>
      </w:r>
      <w:r>
        <w:rPr>
          <w:rFonts w:hint="eastAsia" w:ascii="仿宋" w:hAnsi="仿宋" w:eastAsia="仿宋"/>
          <w:sz w:val="32"/>
          <w:szCs w:val="32"/>
        </w:rPr>
        <w:t>、维修（护）费</w:t>
      </w:r>
      <w:r>
        <w:rPr>
          <w:rFonts w:hint="eastAsia" w:ascii="仿宋" w:hAnsi="仿宋" w:eastAsia="仿宋"/>
          <w:sz w:val="32"/>
          <w:szCs w:val="32"/>
          <w:lang w:val="en-US" w:eastAsia="zh-CN"/>
        </w:rPr>
        <w:t>0.33万元</w:t>
      </w:r>
      <w:r>
        <w:rPr>
          <w:rFonts w:hint="eastAsia" w:ascii="仿宋" w:hAnsi="仿宋" w:eastAsia="仿宋"/>
          <w:sz w:val="32"/>
          <w:szCs w:val="32"/>
        </w:rPr>
        <w:t>、会议费</w:t>
      </w:r>
      <w:r>
        <w:rPr>
          <w:rFonts w:hint="eastAsia" w:ascii="仿宋" w:hAnsi="仿宋" w:eastAsia="仿宋"/>
          <w:sz w:val="32"/>
          <w:szCs w:val="32"/>
          <w:lang w:val="en-US" w:eastAsia="zh-CN"/>
        </w:rPr>
        <w:t>0.77万元</w:t>
      </w:r>
      <w:r>
        <w:rPr>
          <w:rFonts w:hint="eastAsia" w:ascii="仿宋" w:hAnsi="仿宋" w:eastAsia="仿宋"/>
          <w:sz w:val="32"/>
          <w:szCs w:val="32"/>
        </w:rPr>
        <w:t>、公务接待费</w:t>
      </w:r>
      <w:r>
        <w:rPr>
          <w:rFonts w:hint="eastAsia" w:ascii="仿宋" w:hAnsi="仿宋" w:eastAsia="仿宋"/>
          <w:sz w:val="32"/>
          <w:szCs w:val="32"/>
          <w:lang w:val="en-US" w:eastAsia="zh-CN"/>
        </w:rPr>
        <w:t>0.1万元</w:t>
      </w:r>
      <w:r>
        <w:rPr>
          <w:rFonts w:hint="eastAsia" w:ascii="仿宋" w:hAnsi="仿宋" w:eastAsia="仿宋"/>
          <w:sz w:val="32"/>
          <w:szCs w:val="32"/>
        </w:rPr>
        <w:t>、工会经费</w:t>
      </w:r>
      <w:r>
        <w:rPr>
          <w:rFonts w:hint="eastAsia" w:ascii="仿宋" w:hAnsi="仿宋" w:eastAsia="仿宋"/>
          <w:sz w:val="32"/>
          <w:szCs w:val="32"/>
          <w:lang w:val="en-US" w:eastAsia="zh-CN"/>
        </w:rPr>
        <w:t>17.72万元</w:t>
      </w:r>
      <w:r>
        <w:rPr>
          <w:rFonts w:hint="eastAsia" w:ascii="仿宋" w:hAnsi="仿宋" w:eastAsia="仿宋"/>
          <w:sz w:val="32"/>
          <w:szCs w:val="32"/>
        </w:rPr>
        <w:t>、福利费</w:t>
      </w:r>
      <w:r>
        <w:rPr>
          <w:rFonts w:hint="eastAsia" w:ascii="仿宋" w:hAnsi="仿宋" w:eastAsia="仿宋"/>
          <w:sz w:val="32"/>
          <w:szCs w:val="32"/>
          <w:lang w:val="en-US" w:eastAsia="zh-CN"/>
        </w:rPr>
        <w:t>10.15万元</w:t>
      </w:r>
      <w:r>
        <w:rPr>
          <w:rFonts w:hint="eastAsia" w:ascii="仿宋" w:hAnsi="仿宋" w:eastAsia="仿宋"/>
          <w:sz w:val="32"/>
          <w:szCs w:val="32"/>
        </w:rPr>
        <w:t>、公务用车运行维护费</w:t>
      </w:r>
      <w:r>
        <w:rPr>
          <w:rFonts w:hint="eastAsia" w:ascii="仿宋" w:hAnsi="仿宋" w:eastAsia="仿宋"/>
          <w:sz w:val="32"/>
          <w:szCs w:val="32"/>
          <w:lang w:val="en-US" w:eastAsia="zh-CN"/>
        </w:rPr>
        <w:t>189.33万元</w:t>
      </w:r>
      <w:r>
        <w:rPr>
          <w:rFonts w:hint="eastAsia" w:ascii="仿宋" w:hAnsi="仿宋" w:eastAsia="仿宋"/>
          <w:sz w:val="32"/>
          <w:szCs w:val="32"/>
        </w:rPr>
        <w:t>、其他交通费</w:t>
      </w:r>
      <w:r>
        <w:rPr>
          <w:rFonts w:hint="eastAsia" w:ascii="仿宋" w:hAnsi="仿宋" w:eastAsia="仿宋"/>
          <w:sz w:val="32"/>
          <w:szCs w:val="32"/>
          <w:lang w:val="en-US" w:eastAsia="zh-CN"/>
        </w:rPr>
        <w:t>3.66万元</w:t>
      </w:r>
      <w:r>
        <w:rPr>
          <w:rFonts w:hint="eastAsia" w:ascii="仿宋" w:hAnsi="仿宋" w:eastAsia="仿宋"/>
          <w:sz w:val="32"/>
          <w:szCs w:val="32"/>
        </w:rPr>
        <w:t>、其他商品和服务支出</w:t>
      </w:r>
      <w:r>
        <w:rPr>
          <w:rFonts w:hint="eastAsia" w:ascii="仿宋" w:hAnsi="仿宋" w:eastAsia="仿宋"/>
          <w:sz w:val="32"/>
          <w:szCs w:val="32"/>
          <w:lang w:val="en-US" w:eastAsia="zh-CN"/>
        </w:rPr>
        <w:t>82.14万元</w:t>
      </w:r>
      <w:r>
        <w:rPr>
          <w:rFonts w:hint="eastAsia" w:ascii="仿宋" w:hAnsi="仿宋" w:eastAsia="仿宋"/>
          <w:sz w:val="32"/>
          <w:szCs w:val="32"/>
        </w:rPr>
        <w:t>。</w:t>
      </w:r>
    </w:p>
    <w:p>
      <w:pPr>
        <w:pageBreakBefore w:val="0"/>
        <w:kinsoku/>
        <w:wordWrap/>
        <w:overflowPunct/>
        <w:topLinePunct w:val="0"/>
        <w:bidi w:val="0"/>
        <w:spacing w:line="560" w:lineRule="exact"/>
        <w:ind w:firstLine="640"/>
        <w:textAlignment w:val="auto"/>
        <w:outlineLvl w:val="1"/>
        <w:rPr>
          <w:rStyle w:val="28"/>
          <w:rFonts w:ascii="黑体" w:hAnsi="黑体" w:eastAsia="黑体"/>
          <w:b w:val="0"/>
        </w:rPr>
      </w:pPr>
      <w:bookmarkStart w:id="36" w:name="_Toc15396609"/>
      <w:bookmarkStart w:id="37" w:name="_Toc15377215"/>
      <w:r>
        <w:rPr>
          <w:rFonts w:hint="eastAsia" w:ascii="黑体" w:eastAsia="黑体"/>
          <w:sz w:val="32"/>
          <w:szCs w:val="32"/>
        </w:rPr>
        <w:t>七、</w:t>
      </w:r>
      <w:r>
        <w:rPr>
          <w:rStyle w:val="28"/>
          <w:rFonts w:hint="eastAsia" w:ascii="黑体" w:hAnsi="黑体" w:eastAsia="黑体"/>
          <w:b w:val="0"/>
        </w:rPr>
        <w:t>财政拨款</w:t>
      </w:r>
      <w:r>
        <w:rPr>
          <w:rStyle w:val="28"/>
          <w:rFonts w:hint="eastAsia" w:ascii="黑体" w:hAnsi="黑体" w:eastAsia="黑体"/>
        </w:rPr>
        <w:t>“</w:t>
      </w:r>
      <w:r>
        <w:rPr>
          <w:rStyle w:val="28"/>
          <w:rFonts w:hint="eastAsia" w:ascii="黑体" w:hAnsi="黑体" w:eastAsia="黑体"/>
          <w:b w:val="0"/>
        </w:rPr>
        <w:t>三公”经费支出决算情况说明</w:t>
      </w:r>
      <w:bookmarkEnd w:id="36"/>
      <w:bookmarkEnd w:id="37"/>
    </w:p>
    <w:p>
      <w:pPr>
        <w:pageBreakBefore w:val="0"/>
        <w:kinsoku/>
        <w:wordWrap/>
        <w:overflowPunct/>
        <w:topLinePunct w:val="0"/>
        <w:bidi w:val="0"/>
        <w:spacing w:line="560" w:lineRule="exact"/>
        <w:ind w:firstLine="640"/>
        <w:textAlignment w:val="auto"/>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pPr>
        <w:pageBreakBefore w:val="0"/>
        <w:kinsoku/>
        <w:wordWrap/>
        <w:overflowPunct/>
        <w:topLinePunct w:val="0"/>
        <w:bidi w:val="0"/>
        <w:spacing w:line="560" w:lineRule="exact"/>
        <w:ind w:firstLine="640"/>
        <w:textAlignment w:val="auto"/>
        <w:rPr>
          <w:rFonts w:ascii="仿宋" w:hAnsi="仿宋" w:eastAsia="仿宋"/>
          <w:b/>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353.59</w:t>
      </w:r>
      <w:r>
        <w:rPr>
          <w:rFonts w:hint="eastAsia" w:ascii="仿宋" w:hAnsi="仿宋" w:eastAsia="仿宋"/>
          <w:sz w:val="32"/>
          <w:szCs w:val="32"/>
        </w:rPr>
        <w:t>万元，完成预算</w:t>
      </w:r>
      <w:r>
        <w:rPr>
          <w:rFonts w:ascii="仿宋" w:hAnsi="仿宋" w:eastAsia="仿宋"/>
          <w:b/>
          <w:sz w:val="32"/>
          <w:szCs w:val="32"/>
        </w:rPr>
        <w:t>76.02</w:t>
      </w:r>
      <w:r>
        <w:rPr>
          <w:rFonts w:ascii="仿宋" w:hAnsi="仿宋" w:eastAsia="仿宋"/>
          <w:sz w:val="32"/>
          <w:szCs w:val="32"/>
        </w:rPr>
        <w:t>%</w:t>
      </w:r>
      <w:r>
        <w:rPr>
          <w:rFonts w:hint="eastAsia" w:ascii="仿宋" w:hAnsi="仿宋" w:eastAsia="仿宋"/>
          <w:sz w:val="32"/>
          <w:szCs w:val="32"/>
        </w:rPr>
        <w:t>，较上年度减少</w:t>
      </w:r>
      <w:r>
        <w:rPr>
          <w:rFonts w:hint="eastAsia" w:ascii="仿宋" w:hAnsi="仿宋" w:eastAsia="仿宋"/>
          <w:sz w:val="32"/>
          <w:szCs w:val="32"/>
          <w:lang w:val="en-US" w:eastAsia="zh-CN"/>
        </w:rPr>
        <w:t>145.16</w:t>
      </w:r>
      <w:r>
        <w:rPr>
          <w:rFonts w:hint="eastAsia" w:ascii="仿宋" w:hAnsi="仿宋" w:eastAsia="仿宋"/>
          <w:sz w:val="32"/>
          <w:szCs w:val="32"/>
        </w:rPr>
        <w:t>万元，下降</w:t>
      </w:r>
      <w:r>
        <w:rPr>
          <w:rFonts w:hint="eastAsia" w:ascii="仿宋" w:hAnsi="仿宋" w:eastAsia="仿宋"/>
          <w:sz w:val="32"/>
          <w:szCs w:val="32"/>
          <w:lang w:val="en-US" w:eastAsia="zh-CN"/>
        </w:rPr>
        <w:t>29.10</w:t>
      </w:r>
      <w:r>
        <w:rPr>
          <w:rFonts w:hint="eastAsia" w:ascii="仿宋" w:hAnsi="仿宋" w:eastAsia="仿宋"/>
          <w:sz w:val="32"/>
          <w:szCs w:val="32"/>
        </w:rPr>
        <w:t>%。决算数小于预算数的主要原因</w:t>
      </w:r>
      <w:r>
        <w:rPr>
          <w:rFonts w:hint="eastAsia" w:ascii="仿宋" w:hAnsi="仿宋" w:eastAsia="仿宋"/>
          <w:sz w:val="32"/>
          <w:szCs w:val="32"/>
          <w:lang w:eastAsia="zh-CN"/>
        </w:rPr>
        <w:t>：一</w:t>
      </w:r>
      <w:r>
        <w:rPr>
          <w:rFonts w:hint="eastAsia" w:ascii="仿宋" w:hAnsi="仿宋" w:eastAsia="仿宋"/>
          <w:sz w:val="32"/>
          <w:szCs w:val="32"/>
        </w:rPr>
        <w:t>是本年度未购置公务用车</w:t>
      </w:r>
      <w:r>
        <w:rPr>
          <w:rFonts w:hint="eastAsia" w:ascii="仿宋" w:hAnsi="仿宋" w:eastAsia="仿宋"/>
          <w:sz w:val="32"/>
          <w:szCs w:val="32"/>
          <w:lang w:eastAsia="zh-CN"/>
        </w:rPr>
        <w:t>；二是疫情后，招商引资等活动频繁，公务用车使用率高、满负荷运行，且公务用车老旧，致公务用车维修、ET</w:t>
      </w:r>
      <w:r>
        <w:rPr>
          <w:rFonts w:hint="eastAsia" w:ascii="仿宋" w:hAnsi="仿宋" w:eastAsia="仿宋"/>
          <w:sz w:val="32"/>
          <w:szCs w:val="32"/>
          <w:lang w:val="en-US" w:eastAsia="zh-CN"/>
        </w:rPr>
        <w:t>C及油耗增高；三是2022年度无公务接待，本年度接待一次新疆克拉玛依一行来巴考察公务用车管理。</w:t>
      </w:r>
    </w:p>
    <w:p>
      <w:pPr>
        <w:pageBreakBefore w:val="0"/>
        <w:kinsoku/>
        <w:wordWrap/>
        <w:overflowPunct/>
        <w:topLinePunct w:val="0"/>
        <w:bidi w:val="0"/>
        <w:spacing w:line="560" w:lineRule="exact"/>
        <w:ind w:firstLine="640"/>
        <w:textAlignment w:val="auto"/>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pPr>
        <w:pageBreakBefore w:val="0"/>
        <w:kinsoku/>
        <w:wordWrap/>
        <w:overflowPunct/>
        <w:topLinePunct w:val="0"/>
        <w:bidi w:val="0"/>
        <w:spacing w:line="560" w:lineRule="exact"/>
        <w:ind w:firstLine="640"/>
        <w:textAlignment w:val="auto"/>
        <w:rPr>
          <w:rFonts w:hint="eastAsia"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353.49</w:t>
      </w:r>
      <w:r>
        <w:rPr>
          <w:rFonts w:hint="eastAsia" w:ascii="仿宋" w:hAnsi="仿宋" w:eastAsia="仿宋"/>
          <w:sz w:val="32"/>
          <w:szCs w:val="32"/>
        </w:rPr>
        <w:t>万元，占</w:t>
      </w:r>
      <w:r>
        <w:rPr>
          <w:rFonts w:ascii="仿宋" w:hAnsi="仿宋" w:eastAsia="仿宋"/>
          <w:b/>
          <w:sz w:val="32"/>
          <w:szCs w:val="32"/>
        </w:rPr>
        <w:t>99.97</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0.1</w:t>
      </w:r>
      <w:r>
        <w:rPr>
          <w:rFonts w:hint="eastAsia" w:ascii="仿宋" w:hAnsi="仿宋" w:eastAsia="仿宋"/>
          <w:sz w:val="32"/>
          <w:szCs w:val="32"/>
        </w:rPr>
        <w:t>万元，占</w:t>
      </w:r>
      <w:r>
        <w:rPr>
          <w:rFonts w:ascii="仿宋" w:hAnsi="仿宋" w:eastAsia="仿宋"/>
          <w:b/>
          <w:sz w:val="32"/>
          <w:szCs w:val="32"/>
        </w:rPr>
        <w:t>0.02</w:t>
      </w:r>
      <w:r>
        <w:rPr>
          <w:rFonts w:ascii="仿宋" w:hAnsi="仿宋" w:eastAsia="仿宋"/>
          <w:sz w:val="32"/>
          <w:szCs w:val="32"/>
        </w:rPr>
        <w:t>%</w:t>
      </w:r>
      <w:r>
        <w:rPr>
          <w:rFonts w:hint="eastAsia" w:ascii="仿宋" w:hAnsi="仿宋" w:eastAsia="仿宋"/>
          <w:sz w:val="32"/>
          <w:szCs w:val="32"/>
        </w:rPr>
        <w:t>。具体情况如下：</w:t>
      </w:r>
    </w:p>
    <w:p>
      <w:pPr>
        <w:pStyle w:val="2"/>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4928235" cy="2192020"/>
            <wp:effectExtent l="5080" t="4445" r="19685" b="1333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pPr>
        <w:pageBreakBefore w:val="0"/>
        <w:kinsoku/>
        <w:wordWrap/>
        <w:overflowPunct/>
        <w:topLinePunct w:val="0"/>
        <w:bidi w:val="0"/>
        <w:spacing w:line="560" w:lineRule="exact"/>
        <w:ind w:firstLine="840" w:firstLineChars="300"/>
        <w:textAlignment w:val="auto"/>
        <w:rPr>
          <w:rFonts w:ascii="仿宋" w:hAnsi="仿宋" w:eastAsia="仿宋"/>
          <w:sz w:val="28"/>
          <w:szCs w:val="28"/>
        </w:rPr>
      </w:pPr>
      <w:r>
        <w:rPr>
          <w:rFonts w:hint="eastAsia" w:ascii="仿宋" w:hAnsi="仿宋" w:eastAsia="仿宋"/>
          <w:sz w:val="28"/>
          <w:szCs w:val="28"/>
        </w:rPr>
        <w:t>（图7：“三公”经费财政拨款支出结构）（饼状图）</w:t>
      </w:r>
    </w:p>
    <w:p>
      <w:pPr>
        <w:pageBreakBefore w:val="0"/>
        <w:kinsoku/>
        <w:wordWrap/>
        <w:overflowPunct/>
        <w:topLinePunct w:val="0"/>
        <w:bidi w:val="0"/>
        <w:spacing w:line="560" w:lineRule="exact"/>
        <w:ind w:firstLine="640"/>
        <w:textAlignment w:val="auto"/>
        <w:rPr>
          <w:rFonts w:ascii="仿宋_GB2312" w:eastAsia="仿宋_GB2312"/>
          <w:sz w:val="32"/>
          <w:szCs w:val="32"/>
        </w:rPr>
      </w:pPr>
      <w:bookmarkStart w:id="40" w:name="_Toc15396610"/>
      <w:bookmarkStart w:id="41" w:name="_Toc15377218"/>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6"/>
          <w:rFonts w:hint="eastAsia" w:ascii="仿宋" w:hAnsi="仿宋" w:eastAsia="仿宋"/>
          <w:b w:val="0"/>
          <w:bCs/>
          <w:sz w:val="32"/>
          <w:szCs w:val="32"/>
        </w:rPr>
        <w:t>完成预算</w:t>
      </w:r>
      <w:r>
        <w:rPr>
          <w:rStyle w:val="16"/>
          <w:rFonts w:ascii="仿宋" w:hAnsi="仿宋" w:eastAsia="仿宋"/>
          <w:bCs/>
          <w:sz w:val="32"/>
          <w:szCs w:val="32"/>
        </w:rPr>
        <w:t>0</w:t>
      </w:r>
      <w:r>
        <w:rPr>
          <w:rStyle w:val="16"/>
          <w:rFonts w:ascii="仿宋" w:hAnsi="仿宋" w:eastAsia="仿宋"/>
          <w:b w:val="0"/>
          <w:bCs/>
          <w:sz w:val="32"/>
          <w:szCs w:val="32"/>
        </w:rPr>
        <w:t>%</w:t>
      </w:r>
      <w:r>
        <w:rPr>
          <w:rStyle w:val="16"/>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w:t>
      </w:r>
    </w:p>
    <w:p>
      <w:pPr>
        <w:pageBreakBefore w:val="0"/>
        <w:kinsoku/>
        <w:wordWrap/>
        <w:overflowPunct/>
        <w:topLinePunct w:val="0"/>
        <w:bidi w:val="0"/>
        <w:spacing w:line="560" w:lineRule="exact"/>
        <w:ind w:firstLine="640"/>
        <w:textAlignment w:val="auto"/>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353.49</w:t>
      </w:r>
      <w:r>
        <w:rPr>
          <w:rFonts w:hint="eastAsia" w:ascii="仿宋_GB2312" w:eastAsia="仿宋_GB2312"/>
          <w:sz w:val="32"/>
          <w:szCs w:val="32"/>
        </w:rPr>
        <w:t>万元,</w:t>
      </w:r>
      <w:r>
        <w:rPr>
          <w:rStyle w:val="16"/>
          <w:rFonts w:hint="eastAsia" w:ascii="仿宋" w:hAnsi="仿宋" w:eastAsia="仿宋"/>
          <w:b w:val="0"/>
          <w:bCs/>
          <w:sz w:val="32"/>
          <w:szCs w:val="32"/>
        </w:rPr>
        <w:t>完成预算</w:t>
      </w:r>
      <w:r>
        <w:rPr>
          <w:rStyle w:val="16"/>
          <w:rFonts w:ascii="仿宋" w:hAnsi="仿宋" w:eastAsia="仿宋"/>
          <w:bCs/>
          <w:sz w:val="32"/>
          <w:szCs w:val="32"/>
        </w:rPr>
        <w:t>76.01</w:t>
      </w:r>
      <w:r>
        <w:rPr>
          <w:rStyle w:val="16"/>
          <w:rFonts w:ascii="仿宋" w:hAnsi="仿宋" w:eastAsia="仿宋"/>
          <w:b w:val="0"/>
          <w:bCs/>
          <w:sz w:val="32"/>
          <w:szCs w:val="32"/>
        </w:rPr>
        <w:t>%</w:t>
      </w:r>
      <w:r>
        <w:rPr>
          <w:rStyle w:val="16"/>
          <w:rFonts w:hint="eastAsia" w:ascii="仿宋" w:hAnsi="仿宋" w:eastAsia="仿宋"/>
          <w:b w:val="0"/>
          <w:bCs/>
          <w:sz w:val="32"/>
          <w:szCs w:val="32"/>
        </w:rPr>
        <w:t>。</w:t>
      </w:r>
      <w:r>
        <w:rPr>
          <w:rFonts w:hint="eastAsia" w:ascii="仿宋_GB2312" w:eastAsia="仿宋_GB2312"/>
          <w:sz w:val="32"/>
          <w:szCs w:val="32"/>
        </w:rPr>
        <w:t>公务用车购置及运行维护费支出决算比2022年减少</w:t>
      </w:r>
      <w:r>
        <w:rPr>
          <w:rFonts w:hint="eastAsia" w:ascii="仿宋_GB2312" w:eastAsia="仿宋_GB2312"/>
          <w:sz w:val="32"/>
          <w:szCs w:val="32"/>
          <w:lang w:val="en-US" w:eastAsia="zh-CN"/>
        </w:rPr>
        <w:t>145.26</w:t>
      </w:r>
      <w:r>
        <w:rPr>
          <w:rFonts w:hint="eastAsia" w:ascii="仿宋_GB2312" w:eastAsia="仿宋_GB2312"/>
          <w:sz w:val="32"/>
          <w:szCs w:val="32"/>
        </w:rPr>
        <w:t>万元，下降</w:t>
      </w:r>
      <w:r>
        <w:rPr>
          <w:rFonts w:hint="eastAsia" w:ascii="仿宋_GB2312" w:eastAsia="仿宋_GB2312"/>
          <w:sz w:val="32"/>
          <w:szCs w:val="32"/>
          <w:lang w:val="en-US" w:eastAsia="zh-CN"/>
        </w:rPr>
        <w:t>29.12</w:t>
      </w:r>
      <w:r>
        <w:rPr>
          <w:rFonts w:ascii="仿宋_GB2312" w:eastAsia="仿宋_GB2312"/>
          <w:sz w:val="32"/>
          <w:szCs w:val="32"/>
        </w:rPr>
        <w:t>%</w:t>
      </w:r>
      <w:r>
        <w:rPr>
          <w:rFonts w:hint="eastAsia" w:ascii="仿宋_GB2312" w:eastAsia="仿宋_GB2312"/>
          <w:sz w:val="32"/>
          <w:szCs w:val="32"/>
        </w:rPr>
        <w:t>。主要原因是</w:t>
      </w:r>
      <w:r>
        <w:rPr>
          <w:rFonts w:hint="eastAsia" w:ascii="仿宋" w:hAnsi="仿宋" w:eastAsia="仿宋"/>
          <w:sz w:val="32"/>
          <w:szCs w:val="32"/>
        </w:rPr>
        <w:t>本年度未购置公务用车</w:t>
      </w:r>
      <w:r>
        <w:rPr>
          <w:rFonts w:hint="eastAsia" w:ascii="仿宋_GB2312" w:eastAsia="仿宋_GB2312"/>
          <w:sz w:val="32"/>
          <w:szCs w:val="32"/>
        </w:rPr>
        <w:t>。</w:t>
      </w:r>
    </w:p>
    <w:p>
      <w:pPr>
        <w:spacing w:line="600" w:lineRule="exact"/>
        <w:ind w:firstLine="640"/>
        <w:rPr>
          <w:rFonts w:ascii="仿宋_GB2312" w:eastAsia="仿宋_GB2312"/>
          <w:color w:val="auto"/>
          <w:sz w:val="32"/>
          <w:szCs w:val="32"/>
          <w:highlight w:val="none"/>
        </w:rPr>
      </w:pPr>
      <w:r>
        <w:rPr>
          <w:rFonts w:hint="eastAsia" w:ascii="仿宋_GB2312" w:eastAsia="仿宋_GB2312"/>
          <w:sz w:val="32"/>
          <w:szCs w:val="32"/>
        </w:rPr>
        <w:t>其中：</w:t>
      </w:r>
      <w:r>
        <w:rPr>
          <w:rFonts w:hint="eastAsia" w:ascii="仿宋_GB2312" w:eastAsia="仿宋_GB2312"/>
          <w:b/>
          <w:sz w:val="32"/>
          <w:szCs w:val="32"/>
        </w:rPr>
        <w:t>公务用车运行维护费支出</w:t>
      </w:r>
      <w:r>
        <w:rPr>
          <w:rFonts w:ascii="仿宋" w:hAnsi="仿宋" w:eastAsia="仿宋"/>
          <w:b/>
          <w:sz w:val="32"/>
          <w:szCs w:val="32"/>
        </w:rPr>
        <w:t>353.49</w:t>
      </w:r>
      <w:r>
        <w:rPr>
          <w:rFonts w:hint="eastAsia" w:ascii="仿宋_GB2312" w:eastAsia="仿宋_GB2312"/>
          <w:sz w:val="32"/>
          <w:szCs w:val="32"/>
        </w:rPr>
        <w:t>万元。</w:t>
      </w:r>
      <w:r>
        <w:rPr>
          <w:rFonts w:hint="eastAsia" w:ascii="仿宋_GB2312" w:eastAsia="仿宋_GB2312"/>
          <w:color w:val="auto"/>
          <w:sz w:val="32"/>
          <w:szCs w:val="32"/>
          <w:highlight w:val="none"/>
        </w:rPr>
        <w:t>主要用于</w:t>
      </w:r>
      <w:r>
        <w:rPr>
          <w:rFonts w:hint="eastAsia" w:ascii="仿宋_GB2312" w:eastAsia="仿宋_GB2312"/>
          <w:color w:val="auto"/>
          <w:sz w:val="32"/>
          <w:szCs w:val="32"/>
          <w:highlight w:val="none"/>
          <w:lang w:val="en-US" w:eastAsia="zh-CN"/>
        </w:rPr>
        <w:t>68辆公务用车</w:t>
      </w:r>
      <w:r>
        <w:rPr>
          <w:rFonts w:hint="eastAsia" w:ascii="仿宋_GB2312" w:eastAsia="仿宋_GB2312"/>
          <w:color w:val="auto"/>
          <w:sz w:val="32"/>
          <w:szCs w:val="32"/>
          <w:highlight w:val="none"/>
        </w:rPr>
        <w:t>所需的燃料费、维修费、过路过桥费、保险费等支出。</w:t>
      </w:r>
    </w:p>
    <w:p>
      <w:pPr>
        <w:pageBreakBefore w:val="0"/>
        <w:numPr>
          <w:ilvl w:val="0"/>
          <w:numId w:val="0"/>
        </w:numPr>
        <w:kinsoku/>
        <w:wordWrap/>
        <w:overflowPunct/>
        <w:topLinePunct w:val="0"/>
        <w:bidi w:val="0"/>
        <w:spacing w:line="560" w:lineRule="exact"/>
        <w:ind w:firstLine="643" w:firstLineChars="200"/>
        <w:textAlignment w:val="auto"/>
        <w:rPr>
          <w:rFonts w:hint="eastAsia" w:ascii="仿宋_GB2312" w:eastAsia="仿宋_GB2312"/>
          <w:sz w:val="32"/>
          <w:szCs w:val="32"/>
        </w:rPr>
      </w:pPr>
      <w:r>
        <w:rPr>
          <w:rFonts w:hint="eastAsia" w:ascii="仿宋_GB2312" w:eastAsia="仿宋_GB2312"/>
          <w:b/>
          <w:sz w:val="32"/>
          <w:szCs w:val="32"/>
          <w:lang w:val="en-US" w:eastAsia="zh-CN"/>
        </w:rPr>
        <w:t>3.</w:t>
      </w:r>
      <w:r>
        <w:rPr>
          <w:rFonts w:hint="eastAsia" w:ascii="仿宋_GB2312" w:eastAsia="仿宋_GB2312"/>
          <w:b/>
          <w:sz w:val="32"/>
          <w:szCs w:val="32"/>
        </w:rPr>
        <w:t>公务接待费支出</w:t>
      </w:r>
      <w:r>
        <w:rPr>
          <w:rFonts w:ascii="仿宋" w:hAnsi="仿宋" w:eastAsia="仿宋"/>
          <w:b/>
          <w:sz w:val="32"/>
          <w:szCs w:val="32"/>
        </w:rPr>
        <w:t>0.1</w:t>
      </w:r>
      <w:r>
        <w:rPr>
          <w:rFonts w:hint="eastAsia" w:ascii="仿宋_GB2312" w:eastAsia="仿宋_GB2312"/>
          <w:sz w:val="32"/>
          <w:szCs w:val="32"/>
        </w:rPr>
        <w:t>万元，</w:t>
      </w:r>
      <w:r>
        <w:rPr>
          <w:rStyle w:val="16"/>
          <w:rFonts w:hint="eastAsia" w:ascii="仿宋" w:hAnsi="仿宋" w:eastAsia="仿宋"/>
          <w:b w:val="0"/>
          <w:bCs/>
          <w:sz w:val="32"/>
          <w:szCs w:val="32"/>
        </w:rPr>
        <w:t>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hint="eastAsia" w:ascii="仿宋_GB2312" w:eastAsia="仿宋_GB2312"/>
          <w:sz w:val="32"/>
          <w:szCs w:val="32"/>
          <w:lang w:val="en-US" w:eastAsia="zh-CN"/>
        </w:rPr>
        <w:t>0.1</w:t>
      </w:r>
      <w:r>
        <w:rPr>
          <w:rFonts w:hint="eastAsia" w:ascii="仿宋_GB2312" w:eastAsia="仿宋_GB2312"/>
          <w:sz w:val="32"/>
          <w:szCs w:val="32"/>
        </w:rPr>
        <w:t>万元，增长</w:t>
      </w:r>
      <w:r>
        <w:rPr>
          <w:rFonts w:hint="eastAsia" w:ascii="仿宋_GB2312" w:eastAsia="仿宋_GB2312"/>
          <w:sz w:val="32"/>
          <w:szCs w:val="32"/>
          <w:lang w:val="en-US" w:eastAsia="zh-CN"/>
        </w:rPr>
        <w:t>100</w:t>
      </w:r>
      <w:r>
        <w:rPr>
          <w:rFonts w:ascii="仿宋_GB2312" w:eastAsia="仿宋_GB2312"/>
          <w:sz w:val="32"/>
          <w:szCs w:val="32"/>
        </w:rPr>
        <w:t>%</w:t>
      </w:r>
      <w:r>
        <w:rPr>
          <w:rFonts w:hint="eastAsia" w:ascii="仿宋_GB2312" w:eastAsia="仿宋_GB2312"/>
          <w:sz w:val="32"/>
          <w:szCs w:val="32"/>
        </w:rPr>
        <w:t>。主要原因是</w:t>
      </w:r>
      <w:r>
        <w:rPr>
          <w:rFonts w:hint="eastAsia" w:ascii="仿宋" w:hAnsi="仿宋" w:eastAsia="仿宋"/>
          <w:sz w:val="32"/>
          <w:szCs w:val="32"/>
          <w:lang w:val="en-US" w:eastAsia="zh-CN"/>
        </w:rPr>
        <w:t>2022年度无公务接待，本年度接待一次新疆克拉玛依一行来巴考察公务用车管理</w:t>
      </w:r>
      <w:r>
        <w:rPr>
          <w:rFonts w:hint="eastAsia" w:ascii="仿宋_GB2312" w:eastAsia="仿宋_GB2312"/>
          <w:sz w:val="32"/>
          <w:szCs w:val="32"/>
        </w:rPr>
        <w:t>。</w:t>
      </w:r>
    </w:p>
    <w:p>
      <w:pPr>
        <w:pageBreakBefore w:val="0"/>
        <w:numPr>
          <w:ilvl w:val="0"/>
          <w:numId w:val="0"/>
        </w:numPr>
        <w:kinsoku/>
        <w:wordWrap/>
        <w:overflowPunct/>
        <w:topLinePunct w:val="0"/>
        <w:bidi w:val="0"/>
        <w:spacing w:line="560" w:lineRule="exact"/>
        <w:ind w:firstLine="960" w:firstLineChars="300"/>
        <w:textAlignment w:val="auto"/>
        <w:rPr>
          <w:rFonts w:ascii="黑体" w:eastAsia="黑体"/>
          <w:sz w:val="32"/>
          <w:szCs w:val="32"/>
        </w:rPr>
      </w:pPr>
      <w:r>
        <w:rPr>
          <w:rFonts w:hint="eastAsia" w:ascii="仿宋_GB2312" w:eastAsia="仿宋_GB2312"/>
          <w:sz w:val="32"/>
          <w:szCs w:val="32"/>
        </w:rPr>
        <w:t>其中：</w:t>
      </w:r>
      <w:r>
        <w:rPr>
          <w:rFonts w:hint="eastAsia" w:ascii="仿宋" w:hAnsi="仿宋" w:eastAsia="仿宋"/>
          <w:b/>
          <w:sz w:val="32"/>
          <w:szCs w:val="32"/>
        </w:rPr>
        <w:t>国内公务接待支出</w:t>
      </w:r>
      <w:r>
        <w:rPr>
          <w:rFonts w:ascii="仿宋" w:hAnsi="仿宋" w:eastAsia="仿宋"/>
          <w:b/>
          <w:sz w:val="32"/>
          <w:szCs w:val="32"/>
        </w:rPr>
        <w:t>0.1</w:t>
      </w:r>
      <w:r>
        <w:rPr>
          <w:rFonts w:hint="eastAsia" w:ascii="仿宋_GB2312" w:eastAsia="仿宋_GB2312"/>
          <w:sz w:val="32"/>
          <w:szCs w:val="32"/>
        </w:rPr>
        <w:t>万元，主要用于</w:t>
      </w:r>
      <w:r>
        <w:rPr>
          <w:rFonts w:hint="eastAsia" w:ascii="仿宋_GB2312" w:eastAsia="仿宋_GB2312"/>
          <w:sz w:val="32"/>
          <w:szCs w:val="32"/>
          <w:lang w:eastAsia="zh-CN"/>
        </w:rPr>
        <w:t>接待</w:t>
      </w:r>
      <w:r>
        <w:rPr>
          <w:rFonts w:hint="eastAsia" w:ascii="仿宋" w:hAnsi="仿宋" w:eastAsia="仿宋"/>
          <w:sz w:val="32"/>
          <w:szCs w:val="32"/>
          <w:lang w:val="en-US" w:eastAsia="zh-CN"/>
        </w:rPr>
        <w:t>新疆克拉玛依市一行来巴考察公务用车管理</w:t>
      </w:r>
      <w:r>
        <w:rPr>
          <w:rFonts w:hint="eastAsia" w:ascii="仿宋_GB2312" w:eastAsia="仿宋_GB2312"/>
          <w:sz w:val="32"/>
          <w:szCs w:val="32"/>
        </w:rPr>
        <w:t>用餐费。国内公务接待</w:t>
      </w:r>
      <w:r>
        <w:rPr>
          <w:rFonts w:hint="eastAsia" w:ascii="仿宋_GB2312" w:eastAsia="仿宋_GB2312"/>
          <w:sz w:val="32"/>
          <w:szCs w:val="32"/>
          <w:lang w:val="en-US" w:eastAsia="zh-CN"/>
        </w:rPr>
        <w:t>1</w:t>
      </w:r>
      <w:r>
        <w:rPr>
          <w:rFonts w:hint="eastAsia" w:ascii="仿宋_GB2312" w:eastAsia="仿宋_GB2312"/>
          <w:sz w:val="32"/>
          <w:szCs w:val="32"/>
        </w:rPr>
        <w:t>批次，</w:t>
      </w:r>
      <w:r>
        <w:rPr>
          <w:rFonts w:hint="eastAsia" w:ascii="仿宋_GB2312" w:eastAsia="仿宋_GB2312"/>
          <w:color w:val="auto"/>
          <w:sz w:val="32"/>
          <w:szCs w:val="32"/>
          <w:lang w:val="en-US" w:eastAsia="zh-CN"/>
        </w:rPr>
        <w:t>7</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0.1</w:t>
      </w:r>
      <w:r>
        <w:rPr>
          <w:rFonts w:hint="eastAsia" w:ascii="仿宋_GB2312" w:eastAsia="仿宋_GB2312"/>
          <w:sz w:val="32"/>
          <w:szCs w:val="32"/>
        </w:rPr>
        <w:t>万元，具体内容包括：</w:t>
      </w:r>
      <w:r>
        <w:rPr>
          <w:rFonts w:hint="eastAsia" w:ascii="仿宋_GB2312" w:eastAsia="仿宋_GB2312"/>
          <w:sz w:val="32"/>
          <w:szCs w:val="32"/>
          <w:lang w:eastAsia="zh-CN"/>
        </w:rPr>
        <w:t>用餐费</w:t>
      </w:r>
      <w:r>
        <w:rPr>
          <w:rFonts w:hint="eastAsia" w:ascii="仿宋_GB2312" w:eastAsia="仿宋_GB2312"/>
          <w:sz w:val="32"/>
          <w:szCs w:val="32"/>
          <w:lang w:val="en-US" w:eastAsia="zh-CN"/>
        </w:rPr>
        <w:t>0.1万元</w:t>
      </w:r>
      <w:r>
        <w:rPr>
          <w:rFonts w:hint="eastAsia" w:ascii="仿宋_GB2312" w:eastAsia="仿宋_GB2312"/>
          <w:sz w:val="32"/>
          <w:szCs w:val="32"/>
        </w:rPr>
        <w:t>。</w:t>
      </w:r>
    </w:p>
    <w:p>
      <w:pPr>
        <w:pageBreakBefore w:val="0"/>
        <w:kinsoku/>
        <w:wordWrap/>
        <w:overflowPunct/>
        <w:topLinePunct w:val="0"/>
        <w:bidi w:val="0"/>
        <w:spacing w:line="560" w:lineRule="exact"/>
        <w:ind w:firstLine="640"/>
        <w:textAlignment w:val="auto"/>
        <w:outlineLvl w:val="1"/>
        <w:rPr>
          <w:rStyle w:val="28"/>
          <w:rFonts w:ascii="黑体" w:hAnsi="黑体" w:eastAsia="黑体"/>
        </w:rPr>
      </w:pPr>
      <w:r>
        <w:rPr>
          <w:rFonts w:hint="eastAsia" w:ascii="黑体" w:eastAsia="黑体"/>
          <w:sz w:val="32"/>
          <w:szCs w:val="32"/>
        </w:rPr>
        <w:t>八、</w:t>
      </w:r>
      <w:r>
        <w:rPr>
          <w:rStyle w:val="28"/>
          <w:rFonts w:hint="eastAsia" w:ascii="黑体" w:hAnsi="黑体" w:eastAsia="黑体"/>
          <w:b w:val="0"/>
        </w:rPr>
        <w:t>政府性基金预算支出决算情况说明</w:t>
      </w:r>
      <w:bookmarkEnd w:id="40"/>
      <w:bookmarkEnd w:id="41"/>
    </w:p>
    <w:p>
      <w:pPr>
        <w:pageBreakBefore w:val="0"/>
        <w:kinsoku/>
        <w:wordWrap/>
        <w:overflowPunct/>
        <w:topLinePunct w:val="0"/>
        <w:bidi w:val="0"/>
        <w:spacing w:line="560" w:lineRule="exact"/>
        <w:ind w:firstLine="640"/>
        <w:textAlignment w:val="auto"/>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0</w:t>
      </w:r>
      <w:r>
        <w:rPr>
          <w:rFonts w:hint="eastAsia" w:ascii="仿宋_GB2312" w:eastAsia="仿宋_GB2312"/>
          <w:sz w:val="32"/>
          <w:szCs w:val="32"/>
        </w:rPr>
        <w:t>万元。</w:t>
      </w:r>
    </w:p>
    <w:p>
      <w:pPr>
        <w:pageBreakBefore w:val="0"/>
        <w:numPr>
          <w:ilvl w:val="0"/>
          <w:numId w:val="3"/>
        </w:numPr>
        <w:kinsoku/>
        <w:wordWrap/>
        <w:overflowPunct/>
        <w:topLinePunct w:val="0"/>
        <w:bidi w:val="0"/>
        <w:spacing w:line="560" w:lineRule="exact"/>
        <w:ind w:firstLine="640"/>
        <w:textAlignment w:val="auto"/>
        <w:outlineLvl w:val="1"/>
        <w:rPr>
          <w:rStyle w:val="28"/>
          <w:rFonts w:ascii="黑体" w:hAnsi="黑体" w:eastAsia="黑体"/>
          <w:b w:val="0"/>
        </w:rPr>
      </w:pPr>
      <w:bookmarkStart w:id="42" w:name="_Toc15377219"/>
      <w:bookmarkStart w:id="43" w:name="_Toc15396611"/>
      <w:r>
        <w:rPr>
          <w:rStyle w:val="28"/>
          <w:rFonts w:hint="eastAsia" w:ascii="黑体" w:hAnsi="黑体" w:eastAsia="黑体"/>
          <w:b w:val="0"/>
        </w:rPr>
        <w:t>国有资本经营预算支出决算情况说明</w:t>
      </w:r>
      <w:bookmarkEnd w:id="42"/>
      <w:bookmarkEnd w:id="43"/>
    </w:p>
    <w:p>
      <w:pPr>
        <w:pageBreakBefore w:val="0"/>
        <w:kinsoku/>
        <w:wordWrap/>
        <w:overflowPunct/>
        <w:topLinePunct w:val="0"/>
        <w:bidi w:val="0"/>
        <w:spacing w:line="560" w:lineRule="exact"/>
        <w:ind w:firstLine="640"/>
        <w:textAlignment w:val="auto"/>
        <w:rPr>
          <w:rFonts w:ascii="方正小标宋简体" w:hAnsi="方正小标宋简体" w:eastAsia="方正小标宋简体" w:cs="方正小标宋简体"/>
          <w:sz w:val="44"/>
          <w:szCs w:val="44"/>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pPr>
        <w:pageBreakBefore w:val="0"/>
        <w:numPr>
          <w:ilvl w:val="0"/>
          <w:numId w:val="3"/>
        </w:numPr>
        <w:kinsoku/>
        <w:wordWrap/>
        <w:overflowPunct/>
        <w:topLinePunct w:val="0"/>
        <w:bidi w:val="0"/>
        <w:spacing w:line="560" w:lineRule="exact"/>
        <w:ind w:firstLine="640"/>
        <w:textAlignment w:val="auto"/>
        <w:outlineLvl w:val="1"/>
        <w:rPr>
          <w:rStyle w:val="28"/>
          <w:rFonts w:ascii="黑体" w:hAnsi="黑体" w:eastAsia="黑体"/>
          <w:b w:val="0"/>
        </w:rPr>
      </w:pPr>
      <w:bookmarkStart w:id="44" w:name="_Toc15396612"/>
      <w:bookmarkStart w:id="45" w:name="_Toc15377221"/>
      <w:r>
        <w:rPr>
          <w:rStyle w:val="28"/>
          <w:rFonts w:hint="eastAsia" w:ascii="黑体" w:hAnsi="黑体" w:eastAsia="黑体"/>
          <w:b w:val="0"/>
        </w:rPr>
        <w:t>其他重要事项的情况说明</w:t>
      </w:r>
      <w:bookmarkEnd w:id="44"/>
      <w:bookmarkEnd w:id="45"/>
    </w:p>
    <w:p>
      <w:pPr>
        <w:pageBreakBefore w:val="0"/>
        <w:kinsoku/>
        <w:wordWrap/>
        <w:overflowPunct/>
        <w:topLinePunct w:val="0"/>
        <w:bidi w:val="0"/>
        <w:spacing w:line="560" w:lineRule="exact"/>
        <w:ind w:firstLine="643" w:firstLineChars="200"/>
        <w:textAlignment w:val="auto"/>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pPr>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巴中市巴州区机关事务服务中心</w:t>
      </w:r>
      <w:r>
        <w:rPr>
          <w:rFonts w:hint="eastAsia" w:ascii="仿宋_GB2312" w:eastAsia="仿宋_GB2312"/>
          <w:sz w:val="32"/>
          <w:szCs w:val="32"/>
        </w:rPr>
        <w:t>机关运行经费支出</w:t>
      </w:r>
      <w:r>
        <w:rPr>
          <w:rFonts w:ascii="仿宋" w:hAnsi="仿宋" w:eastAsia="仿宋"/>
          <w:b/>
          <w:sz w:val="32"/>
          <w:szCs w:val="32"/>
        </w:rPr>
        <w:t>389.23</w:t>
      </w:r>
      <w:r>
        <w:rPr>
          <w:rFonts w:hint="eastAsia" w:ascii="仿宋_GB2312" w:eastAsia="仿宋_GB2312"/>
          <w:sz w:val="32"/>
          <w:szCs w:val="32"/>
        </w:rPr>
        <w:t>万元，比2022年度减少</w:t>
      </w:r>
      <w:r>
        <w:rPr>
          <w:rFonts w:hint="eastAsia" w:ascii="仿宋_GB2312" w:eastAsia="仿宋_GB2312"/>
          <w:sz w:val="32"/>
          <w:szCs w:val="32"/>
          <w:lang w:val="en-US" w:eastAsia="zh-CN"/>
        </w:rPr>
        <w:t>20.47</w:t>
      </w:r>
      <w:r>
        <w:rPr>
          <w:rFonts w:hint="eastAsia" w:ascii="仿宋_GB2312" w:eastAsia="仿宋_GB2312"/>
          <w:sz w:val="32"/>
          <w:szCs w:val="32"/>
        </w:rPr>
        <w:t>万元，下降</w:t>
      </w: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主要原因是本年度购置</w:t>
      </w:r>
      <w:r>
        <w:rPr>
          <w:rFonts w:hint="eastAsia" w:ascii="仿宋_GB2312" w:eastAsia="仿宋_GB2312"/>
          <w:sz w:val="32"/>
          <w:szCs w:val="32"/>
          <w:lang w:eastAsia="zh-CN"/>
        </w:rPr>
        <w:t>设施设备减少</w:t>
      </w:r>
      <w:r>
        <w:rPr>
          <w:rFonts w:hint="eastAsia" w:ascii="仿宋_GB2312" w:eastAsia="仿宋_GB2312"/>
          <w:sz w:val="32"/>
          <w:szCs w:val="32"/>
        </w:rPr>
        <w:t>。</w:t>
      </w:r>
    </w:p>
    <w:p>
      <w:pPr>
        <w:pageBreakBefore w:val="0"/>
        <w:kinsoku/>
        <w:wordWrap/>
        <w:overflowPunct/>
        <w:topLinePunct w:val="0"/>
        <w:autoSpaceDE w:val="0"/>
        <w:autoSpaceDN w:val="0"/>
        <w:bidi w:val="0"/>
        <w:adjustRightInd w:val="0"/>
        <w:spacing w:line="560" w:lineRule="exact"/>
        <w:ind w:firstLine="643" w:firstLineChars="200"/>
        <w:jc w:val="left"/>
        <w:textAlignment w:val="auto"/>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pPr>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巴中市巴州区机关事务服务中心</w:t>
      </w:r>
      <w:r>
        <w:rPr>
          <w:rFonts w:hint="eastAsia" w:ascii="仿宋_GB2312" w:eastAsia="仿宋_GB2312"/>
          <w:sz w:val="32"/>
          <w:szCs w:val="32"/>
        </w:rPr>
        <w:t>政府采购支出总额</w:t>
      </w:r>
      <w:r>
        <w:rPr>
          <w:rFonts w:ascii="仿宋" w:hAnsi="仿宋" w:eastAsia="仿宋"/>
          <w:b/>
          <w:sz w:val="32"/>
          <w:szCs w:val="32"/>
        </w:rPr>
        <w:t>0.71</w:t>
      </w:r>
      <w:r>
        <w:rPr>
          <w:rFonts w:hint="eastAsia" w:ascii="仿宋_GB2312" w:eastAsia="仿宋_GB2312"/>
          <w:sz w:val="32"/>
          <w:szCs w:val="32"/>
        </w:rPr>
        <w:t>万元，其中：政府采购货物支出</w:t>
      </w:r>
      <w:r>
        <w:rPr>
          <w:rFonts w:ascii="仿宋" w:hAnsi="仿宋" w:eastAsia="仿宋"/>
          <w:b/>
          <w:sz w:val="32"/>
          <w:szCs w:val="32"/>
        </w:rPr>
        <w:t>0.71</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0</w:t>
      </w:r>
      <w:r>
        <w:rPr>
          <w:rFonts w:hint="eastAsia" w:ascii="仿宋_GB2312" w:eastAsia="仿宋_GB2312"/>
          <w:sz w:val="32"/>
          <w:szCs w:val="32"/>
        </w:rPr>
        <w:t>万元。主要用于</w:t>
      </w:r>
      <w:r>
        <w:rPr>
          <w:rFonts w:hint="eastAsia" w:ascii="仿宋_GB2312" w:eastAsia="仿宋_GB2312"/>
          <w:sz w:val="32"/>
          <w:szCs w:val="32"/>
          <w:lang w:eastAsia="zh-CN"/>
        </w:rPr>
        <w:t>中心新进人员办公使用</w:t>
      </w:r>
      <w:r>
        <w:rPr>
          <w:rFonts w:hint="eastAsia" w:ascii="仿宋_GB2312" w:eastAsia="仿宋_GB2312"/>
          <w:sz w:val="32"/>
          <w:szCs w:val="32"/>
        </w:rPr>
        <w:t>。授予中小企业合同金额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pPr>
        <w:pageBreakBefore w:val="0"/>
        <w:kinsoku/>
        <w:wordWrap/>
        <w:overflowPunct/>
        <w:topLinePunct w:val="0"/>
        <w:autoSpaceDE w:val="0"/>
        <w:autoSpaceDN w:val="0"/>
        <w:bidi w:val="0"/>
        <w:adjustRightInd w:val="0"/>
        <w:spacing w:line="560" w:lineRule="exact"/>
        <w:ind w:firstLine="643" w:firstLineChars="200"/>
        <w:jc w:val="left"/>
        <w:textAlignment w:val="auto"/>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pPr>
        <w:pageBreakBefore w:val="0"/>
        <w:kinsoku/>
        <w:wordWrap/>
        <w:overflowPunct/>
        <w:topLinePunct w:val="0"/>
        <w:autoSpaceDE w:val="0"/>
        <w:autoSpaceDN w:val="0"/>
        <w:bidi w:val="0"/>
        <w:adjustRightInd w:val="0"/>
        <w:spacing w:line="56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巴中市巴州区机关事务服务中心</w:t>
      </w:r>
      <w:r>
        <w:rPr>
          <w:rFonts w:hint="eastAsia" w:ascii="仿宋_GB2312" w:eastAsia="仿宋_GB2312"/>
          <w:sz w:val="32"/>
          <w:szCs w:val="32"/>
        </w:rPr>
        <w:t>共有车辆</w:t>
      </w:r>
      <w:r>
        <w:rPr>
          <w:rFonts w:hint="eastAsia" w:ascii="仿宋_GB2312" w:eastAsia="仿宋_GB2312"/>
          <w:b/>
          <w:sz w:val="32"/>
          <w:szCs w:val="32"/>
        </w:rPr>
        <w:t>68</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68</w:t>
      </w:r>
      <w:r>
        <w:rPr>
          <w:rFonts w:hint="eastAsia" w:ascii="仿宋_GB2312" w:eastAsia="仿宋_GB2312"/>
          <w:sz w:val="32"/>
          <w:szCs w:val="32"/>
        </w:rPr>
        <w:t>辆，其他用车主要是用于</w:t>
      </w:r>
      <w:r>
        <w:rPr>
          <w:rFonts w:hint="eastAsia" w:ascii="仿宋_GB2312" w:eastAsia="仿宋_GB2312"/>
          <w:sz w:val="32"/>
          <w:szCs w:val="32"/>
          <w:lang w:eastAsia="zh-CN"/>
        </w:rPr>
        <w:t>一般公务用车</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pPr>
        <w:pageBreakBefore w:val="0"/>
        <w:kinsoku/>
        <w:wordWrap/>
        <w:overflowPunct/>
        <w:topLinePunct w:val="0"/>
        <w:autoSpaceDE w:val="0"/>
        <w:autoSpaceDN w:val="0"/>
        <w:bidi w:val="0"/>
        <w:adjustRightInd w:val="0"/>
        <w:spacing w:line="560" w:lineRule="exact"/>
        <w:ind w:firstLine="643" w:firstLineChars="200"/>
        <w:jc w:val="left"/>
        <w:textAlignment w:val="auto"/>
        <w:outlineLvl w:val="2"/>
        <w:rPr>
          <w:rFonts w:ascii="仿宋" w:hAnsi="仿宋" w:eastAsia="仿宋"/>
          <w:b/>
          <w:sz w:val="32"/>
          <w:szCs w:val="32"/>
        </w:rPr>
      </w:pPr>
      <w:r>
        <w:rPr>
          <w:rFonts w:hint="eastAsia" w:ascii="仿宋" w:hAnsi="仿宋" w:eastAsia="仿宋"/>
          <w:b/>
          <w:sz w:val="32"/>
          <w:szCs w:val="32"/>
        </w:rPr>
        <w:t>（四）预算绩效管理情况</w:t>
      </w:r>
    </w:p>
    <w:p>
      <w:pPr>
        <w:pStyle w:val="2"/>
        <w:ind w:firstLine="640" w:firstLineChars="200"/>
        <w:rPr>
          <w:color w:val="auto"/>
          <w:highlight w:val="yellow"/>
        </w:rPr>
      </w:pPr>
      <w:r>
        <w:rPr>
          <w:rFonts w:hint="eastAsia" w:ascii="仿宋_GB2312" w:eastAsia="仿宋_GB2312"/>
          <w:sz w:val="32"/>
          <w:szCs w:val="32"/>
        </w:rPr>
        <w:t>根据预算绩效管理要求，本单位在2023年度预算编制阶段，组织对</w:t>
      </w:r>
      <w:r>
        <w:rPr>
          <w:rFonts w:hint="eastAsia" w:hAnsi="仿宋_GB2312" w:cs="仿宋_GB2312"/>
          <w:color w:val="auto"/>
          <w:sz w:val="32"/>
          <w:szCs w:val="32"/>
          <w:highlight w:val="none"/>
          <w:lang w:eastAsia="zh-CN"/>
        </w:rPr>
        <w:t>公共机构节能减排宣传经费、车辆保障服务中心运行费、国有资产管理经费、机关食堂运行经费、机关综合事务管理工作经费</w:t>
      </w:r>
      <w:r>
        <w:rPr>
          <w:rFonts w:hint="eastAsia" w:ascii="仿宋_GB2312" w:hAnsi="仿宋_GB2312" w:eastAsia="仿宋_GB2312" w:cs="仿宋_GB2312"/>
          <w:color w:val="auto"/>
          <w:sz w:val="32"/>
          <w:szCs w:val="32"/>
          <w:highlight w:val="none"/>
        </w:rPr>
        <w:t>等</w:t>
      </w:r>
      <w:r>
        <w:rPr>
          <w:rFonts w:hint="eastAsia"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pageBreakBefore w:val="0"/>
        <w:kinsoku/>
        <w:wordWrap/>
        <w:overflowPunct/>
        <w:topLinePunct w:val="0"/>
        <w:bidi w:val="0"/>
        <w:spacing w:line="560" w:lineRule="exact"/>
        <w:textAlignment w:val="auto"/>
        <w:rPr>
          <w:rFonts w:ascii="仿宋_GB2312" w:eastAsia="仿宋_GB2312"/>
          <w:sz w:val="32"/>
          <w:szCs w:val="32"/>
        </w:rPr>
      </w:pPr>
      <w:r>
        <w:rPr>
          <w:rFonts w:hint="eastAsia" w:ascii="仿宋_GB2312" w:eastAsia="仿宋_GB2312"/>
          <w:sz w:val="32"/>
          <w:szCs w:val="32"/>
        </w:rPr>
        <w:br w:type="page"/>
      </w:r>
    </w:p>
    <w:p>
      <w:pPr>
        <w:pageBreakBefore w:val="0"/>
        <w:numPr>
          <w:ilvl w:val="0"/>
          <w:numId w:val="4"/>
        </w:numPr>
        <w:kinsoku/>
        <w:wordWrap/>
        <w:overflowPunct/>
        <w:topLinePunct w:val="0"/>
        <w:bidi w:val="0"/>
        <w:spacing w:line="560" w:lineRule="exact"/>
        <w:ind w:firstLine="660" w:firstLineChars="150"/>
        <w:jc w:val="center"/>
        <w:textAlignment w:val="auto"/>
        <w:outlineLvl w:val="0"/>
        <w:rPr>
          <w:rStyle w:val="27"/>
          <w:rFonts w:ascii="黑体" w:hAnsi="黑体" w:eastAsia="黑体"/>
          <w:b w:val="0"/>
        </w:rPr>
      </w:pPr>
      <w:bookmarkStart w:id="49" w:name="_Toc15377225"/>
      <w:bookmarkStart w:id="50" w:name="_Toc15396613"/>
      <w:r>
        <w:rPr>
          <w:rFonts w:hint="eastAsia" w:ascii="黑体" w:hAnsi="黑体" w:eastAsia="黑体"/>
          <w:sz w:val="44"/>
          <w:szCs w:val="44"/>
        </w:rPr>
        <w:t>名</w:t>
      </w:r>
      <w:r>
        <w:rPr>
          <w:rStyle w:val="27"/>
          <w:rFonts w:hint="eastAsia" w:ascii="黑体" w:hAnsi="黑体" w:eastAsia="黑体"/>
          <w:b w:val="0"/>
        </w:rPr>
        <w:t>词解释</w:t>
      </w:r>
      <w:bookmarkEnd w:id="49"/>
      <w:bookmarkEnd w:id="50"/>
    </w:p>
    <w:p>
      <w:pPr>
        <w:pageBreakBefore w:val="0"/>
        <w:kinsoku/>
        <w:wordWrap/>
        <w:overflowPunct/>
        <w:topLinePunct w:val="0"/>
        <w:bidi w:val="0"/>
        <w:spacing w:line="560" w:lineRule="exact"/>
        <w:jc w:val="left"/>
        <w:textAlignment w:val="auto"/>
        <w:rPr>
          <w:rFonts w:ascii="宋体"/>
          <w:b/>
          <w:sz w:val="44"/>
          <w:szCs w:val="44"/>
        </w:rPr>
      </w:pPr>
    </w:p>
    <w:p>
      <w:pPr>
        <w:pStyle w:val="25"/>
        <w:pageBreakBefore w:val="0"/>
        <w:kinsoku/>
        <w:wordWrap/>
        <w:overflowPunct/>
        <w:topLinePunct w:val="0"/>
        <w:bidi w:val="0"/>
        <w:spacing w:line="560"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2</w:t>
      </w:r>
      <w:r>
        <w:rPr>
          <w:rFonts w:eastAsia="仿宋_GB2312"/>
          <w:color w:val="000000"/>
          <w:sz w:val="32"/>
          <w:szCs w:val="32"/>
        </w:rPr>
        <w:t>.一般公共服务（类）政府办公厅（室）及相关机构事务（款）行政运行（项）：指反映行政单位（包括实行公务员管理的事业单位）的基本支出。</w:t>
      </w:r>
    </w:p>
    <w:p>
      <w:pPr>
        <w:spacing w:line="600" w:lineRule="exact"/>
        <w:ind w:firstLine="640" w:firstLineChars="200"/>
        <w:rPr>
          <w:rStyle w:val="16"/>
          <w:rFonts w:eastAsia="仿宋_GB2312"/>
          <w:b w:val="0"/>
          <w:color w:val="000000"/>
          <w:sz w:val="32"/>
          <w:szCs w:val="32"/>
        </w:rPr>
      </w:pPr>
      <w:r>
        <w:rPr>
          <w:rFonts w:hint="eastAsia" w:eastAsia="仿宋_GB2312"/>
          <w:color w:val="000000"/>
          <w:sz w:val="32"/>
          <w:szCs w:val="32"/>
          <w:lang w:val="en-US" w:eastAsia="zh-CN"/>
        </w:rPr>
        <w:t>3</w:t>
      </w:r>
      <w:r>
        <w:rPr>
          <w:rFonts w:hint="eastAsia" w:eastAsia="仿宋_GB2312"/>
          <w:color w:val="000000"/>
          <w:sz w:val="32"/>
          <w:szCs w:val="32"/>
        </w:rPr>
        <w:t>.</w:t>
      </w:r>
      <w:r>
        <w:rPr>
          <w:rFonts w:eastAsia="仿宋_GB2312"/>
          <w:color w:val="000000"/>
          <w:sz w:val="32"/>
          <w:szCs w:val="32"/>
        </w:rPr>
        <w:t>一般公共服务（类）政府办公厅（室）及相关机构事务（款）</w:t>
      </w:r>
      <w:r>
        <w:rPr>
          <w:rFonts w:hint="eastAsia" w:eastAsia="仿宋_GB2312"/>
          <w:color w:val="000000"/>
          <w:sz w:val="32"/>
          <w:szCs w:val="32"/>
        </w:rPr>
        <w:t>一般</w:t>
      </w:r>
      <w:r>
        <w:rPr>
          <w:rFonts w:eastAsia="仿宋_GB2312"/>
          <w:color w:val="000000"/>
          <w:sz w:val="32"/>
          <w:szCs w:val="32"/>
        </w:rPr>
        <w:t>行政管理事务（项）</w:t>
      </w:r>
      <w:r>
        <w:rPr>
          <w:rFonts w:hint="eastAsia" w:eastAsia="仿宋_GB2312"/>
          <w:color w:val="000000"/>
          <w:sz w:val="32"/>
          <w:szCs w:val="32"/>
        </w:rPr>
        <w:t>：</w:t>
      </w:r>
      <w:r>
        <w:rPr>
          <w:rStyle w:val="16"/>
          <w:rFonts w:eastAsia="仿宋_GB2312"/>
          <w:color w:val="000000"/>
          <w:sz w:val="32"/>
          <w:szCs w:val="32"/>
        </w:rPr>
        <w:t>指</w:t>
      </w:r>
      <w:r>
        <w:rPr>
          <w:rFonts w:eastAsia="仿宋_GB2312"/>
          <w:color w:val="000000"/>
          <w:sz w:val="32"/>
          <w:szCs w:val="32"/>
        </w:rPr>
        <w:t>反映行政单位</w:t>
      </w:r>
      <w:r>
        <w:rPr>
          <w:rFonts w:hint="eastAsia" w:eastAsia="仿宋_GB2312"/>
          <w:color w:val="000000"/>
          <w:sz w:val="32"/>
          <w:szCs w:val="32"/>
        </w:rPr>
        <w:t>（包括实行公务员管理的事业单位）未单独设置项级科目的其他项目支出。</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4</w:t>
      </w:r>
      <w:r>
        <w:rPr>
          <w:rFonts w:eastAsia="仿宋_GB2312"/>
          <w:color w:val="000000"/>
          <w:sz w:val="32"/>
          <w:szCs w:val="32"/>
        </w:rPr>
        <w:t>.一般公共服务（类）政府办公厅（室）及相关机构事务（款）机关服务（项）：指反映为行政单位（包括实行公务员管理的事业单位）提供后勤服务的各类后勤服务中心、医务室等附属事业单位的支出。</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5</w:t>
      </w:r>
      <w:r>
        <w:rPr>
          <w:rFonts w:hint="eastAsia" w:eastAsia="仿宋_GB2312"/>
          <w:color w:val="000000"/>
          <w:sz w:val="32"/>
          <w:szCs w:val="32"/>
        </w:rPr>
        <w:t>.</w:t>
      </w:r>
      <w:r>
        <w:rPr>
          <w:rFonts w:eastAsia="仿宋_GB2312"/>
          <w:color w:val="000000"/>
          <w:sz w:val="32"/>
          <w:szCs w:val="32"/>
        </w:rPr>
        <w:t>一般公共服务（类）政府办公厅（室）及相关机构事务（款）</w:t>
      </w:r>
      <w:r>
        <w:rPr>
          <w:rFonts w:hint="eastAsia" w:eastAsia="仿宋_GB2312"/>
          <w:color w:val="000000"/>
          <w:sz w:val="32"/>
          <w:szCs w:val="32"/>
        </w:rPr>
        <w:t>其他</w:t>
      </w:r>
      <w:r>
        <w:rPr>
          <w:rFonts w:eastAsia="仿宋_GB2312"/>
          <w:color w:val="000000"/>
          <w:sz w:val="32"/>
          <w:szCs w:val="32"/>
        </w:rPr>
        <w:t>政府办公厅</w:t>
      </w:r>
      <w:r>
        <w:rPr>
          <w:rFonts w:hint="eastAsia" w:eastAsia="仿宋_GB2312"/>
          <w:color w:val="000000"/>
          <w:sz w:val="32"/>
          <w:szCs w:val="32"/>
        </w:rPr>
        <w:t>（室）及相关机构事务支出</w:t>
      </w:r>
      <w:r>
        <w:rPr>
          <w:rFonts w:eastAsia="仿宋_GB2312"/>
          <w:color w:val="000000"/>
          <w:sz w:val="32"/>
          <w:szCs w:val="32"/>
        </w:rPr>
        <w:t>（项）</w:t>
      </w:r>
      <w:r>
        <w:rPr>
          <w:rFonts w:hint="eastAsia" w:eastAsia="仿宋_GB2312"/>
          <w:color w:val="000000"/>
          <w:sz w:val="32"/>
          <w:szCs w:val="32"/>
        </w:rPr>
        <w:t>：</w:t>
      </w:r>
      <w:r>
        <w:rPr>
          <w:rFonts w:eastAsia="仿宋_GB2312"/>
          <w:color w:val="000000"/>
          <w:sz w:val="32"/>
          <w:szCs w:val="32"/>
        </w:rPr>
        <w:t>指反映除</w:t>
      </w:r>
      <w:r>
        <w:rPr>
          <w:rFonts w:hint="eastAsia" w:eastAsia="仿宋_GB2312"/>
          <w:color w:val="000000"/>
          <w:sz w:val="32"/>
          <w:szCs w:val="32"/>
        </w:rPr>
        <w:t>“行政运行”“一般行政管理事务”“机关服务”“专项服务”“专项业务活动”“政务公开审批”“法制建设”“信访事务”“参赛事务”“事业运行”等项目以外的其他政府办公厅（室）及相关机构事务支出。</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6</w:t>
      </w:r>
      <w:r>
        <w:rPr>
          <w:rFonts w:eastAsia="仿宋_GB2312"/>
          <w:color w:val="000000"/>
          <w:sz w:val="32"/>
          <w:szCs w:val="32"/>
        </w:rPr>
        <w:t>.社会保障和就业（类）行政事业单位离退休（款）机关事业单位基本养老保险缴费支出（项）：指反映机关事业单位实话养老保险制度由单位缴纳的基本养老保险费支出。</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7</w:t>
      </w:r>
      <w:r>
        <w:rPr>
          <w:rFonts w:eastAsia="仿宋_GB2312"/>
          <w:color w:val="000000"/>
          <w:sz w:val="32"/>
          <w:szCs w:val="32"/>
        </w:rPr>
        <w:t>.医疗卫生与计划生育（类）行政事业单位医疗（款）行政单位医疗（项）：指反映财政部门集中安排的行政单位基本医疗保险缴费经费，未参加医疗保险的行政单位的公费医疗经费，按国家规定享受离休人员、经军老战士待遇人员的医疗经费。</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8</w:t>
      </w:r>
      <w:r>
        <w:rPr>
          <w:rFonts w:eastAsia="仿宋_GB2312"/>
          <w:color w:val="000000"/>
          <w:sz w:val="32"/>
          <w:szCs w:val="32"/>
        </w:rPr>
        <w:t>.医疗卫生与计划生育（类）行政事业单位医疗（款）行事业位医疗（项）：指反映财政部门集中安排的事业单位基本医疗保险缴费经费，未参加医疗保险的行政单位的公费医疗经费，按国家规定享受离休人员待遇的医疗经费。</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9</w:t>
      </w:r>
      <w:r>
        <w:rPr>
          <w:rFonts w:eastAsia="仿宋_GB2312"/>
          <w:color w:val="000000"/>
          <w:sz w:val="32"/>
          <w:szCs w:val="32"/>
        </w:rPr>
        <w:t>.住房保障（类）住房改革支出（款）住房公积金（项）：指反映行政事业单位按人力资源的社会保障部、财政部规定的基本工资和津贴补贴以扩规定比例为职工缴纳的住房公积金。</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10</w:t>
      </w:r>
      <w:r>
        <w:rPr>
          <w:rFonts w:eastAsia="仿宋_GB2312"/>
          <w:color w:val="000000"/>
          <w:sz w:val="32"/>
          <w:szCs w:val="32"/>
        </w:rPr>
        <w:t>.基本支出：指为保障机构正常运转、完成日常工作任务而发生的人员支出和公用支出。</w:t>
      </w:r>
    </w:p>
    <w:p>
      <w:pPr>
        <w:spacing w:line="600" w:lineRule="exact"/>
        <w:ind w:firstLine="640" w:firstLineChars="2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lang w:val="en-US" w:eastAsia="zh-CN"/>
        </w:rPr>
        <w:t>1</w:t>
      </w:r>
      <w:r>
        <w:rPr>
          <w:rFonts w:eastAsia="仿宋_GB2312"/>
          <w:color w:val="000000"/>
          <w:sz w:val="32"/>
          <w:szCs w:val="32"/>
        </w:rPr>
        <w:t xml:space="preserve">.项目支出：指在基本支出之外为完成特定行政任务和事业发展目标所发生的支出。 </w:t>
      </w:r>
    </w:p>
    <w:p>
      <w:pPr>
        <w:pStyle w:val="25"/>
        <w:spacing w:line="600" w:lineRule="exact"/>
        <w:ind w:firstLine="640" w:firstLineChars="200"/>
        <w:jc w:val="both"/>
        <w:rPr>
          <w:rFonts w:ascii="Times New Roman" w:eastAsia="仿宋_GB2312" w:cs="Times New Roman"/>
          <w:sz w:val="32"/>
          <w:szCs w:val="32"/>
        </w:rPr>
      </w:pPr>
      <w:r>
        <w:rPr>
          <w:rFonts w:ascii="Times New Roman" w:eastAsia="仿宋_GB2312" w:cs="Times New Roman"/>
          <w:sz w:val="32"/>
          <w:szCs w:val="32"/>
        </w:rPr>
        <w:t>1</w:t>
      </w:r>
      <w:r>
        <w:rPr>
          <w:rFonts w:hint="eastAsia" w:ascii="Times New Roman" w:eastAsia="仿宋_GB2312" w:cs="Times New Roman"/>
          <w:sz w:val="32"/>
          <w:szCs w:val="32"/>
          <w:lang w:val="en-US" w:eastAsia="zh-CN"/>
        </w:rPr>
        <w:t>2</w:t>
      </w:r>
      <w:r>
        <w:rPr>
          <w:rFonts w:ascii="Times New Roman" w:eastAsia="仿宋_GB2312" w:cs="Times New Roman"/>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5"/>
        <w:spacing w:line="600" w:lineRule="exact"/>
        <w:ind w:firstLine="640" w:firstLineChars="200"/>
        <w:jc w:val="both"/>
        <w:rPr>
          <w:rFonts w:ascii="Times New Roman" w:eastAsia="仿宋_GB2312" w:cs="Times New Roman"/>
          <w:sz w:val="32"/>
          <w:szCs w:val="32"/>
        </w:rPr>
      </w:pPr>
      <w:r>
        <w:rPr>
          <w:rFonts w:ascii="Times New Roman" w:eastAsia="仿宋_GB2312" w:cs="Times New Roman"/>
          <w:sz w:val="32"/>
          <w:szCs w:val="32"/>
        </w:rPr>
        <w:t>1</w:t>
      </w:r>
      <w:r>
        <w:rPr>
          <w:rFonts w:hint="eastAsia" w:ascii="Times New Roman" w:eastAsia="仿宋_GB2312" w:cs="Times New Roman"/>
          <w:sz w:val="32"/>
          <w:szCs w:val="32"/>
          <w:lang w:val="en-US" w:eastAsia="zh-CN"/>
        </w:rPr>
        <w:t>3</w:t>
      </w:r>
      <w:r>
        <w:rPr>
          <w:rFonts w:ascii="Times New Roman" w:eastAsia="仿宋_GB2312" w:cs="Times New Roman"/>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bidi w:val="0"/>
        <w:spacing w:line="560" w:lineRule="exact"/>
        <w:jc w:val="center"/>
        <w:textAlignment w:val="auto"/>
        <w:outlineLvl w:val="0"/>
        <w:rPr>
          <w:rFonts w:hint="eastAsia" w:ascii="黑体" w:hAnsi="黑体" w:eastAsia="黑体"/>
          <w:sz w:val="44"/>
          <w:szCs w:val="44"/>
        </w:rPr>
      </w:pPr>
      <w:bookmarkStart w:id="51" w:name="_Toc15396614"/>
      <w:bookmarkStart w:id="52" w:name="_Toc15377226"/>
    </w:p>
    <w:p>
      <w:pPr>
        <w:pageBreakBefore w:val="0"/>
        <w:kinsoku/>
        <w:wordWrap/>
        <w:overflowPunct/>
        <w:topLinePunct w:val="0"/>
        <w:bidi w:val="0"/>
        <w:spacing w:line="560" w:lineRule="exact"/>
        <w:jc w:val="center"/>
        <w:textAlignment w:val="auto"/>
        <w:outlineLvl w:val="0"/>
        <w:rPr>
          <w:rFonts w:hint="eastAsia" w:ascii="黑体" w:hAnsi="黑体" w:eastAsia="黑体"/>
          <w:sz w:val="44"/>
          <w:szCs w:val="44"/>
        </w:rPr>
      </w:pPr>
    </w:p>
    <w:p>
      <w:pPr>
        <w:pageBreakBefore w:val="0"/>
        <w:kinsoku/>
        <w:wordWrap/>
        <w:overflowPunct/>
        <w:topLinePunct w:val="0"/>
        <w:bidi w:val="0"/>
        <w:spacing w:line="560" w:lineRule="exact"/>
        <w:jc w:val="center"/>
        <w:textAlignment w:val="auto"/>
        <w:outlineLvl w:val="0"/>
        <w:rPr>
          <w:rFonts w:hint="eastAsia" w:ascii="黑体" w:hAnsi="黑体" w:eastAsia="黑体"/>
          <w:sz w:val="44"/>
          <w:szCs w:val="44"/>
        </w:rPr>
      </w:pPr>
    </w:p>
    <w:p>
      <w:pPr>
        <w:pageBreakBefore w:val="0"/>
        <w:kinsoku/>
        <w:wordWrap/>
        <w:overflowPunct/>
        <w:topLinePunct w:val="0"/>
        <w:bidi w:val="0"/>
        <w:spacing w:line="560" w:lineRule="exact"/>
        <w:jc w:val="center"/>
        <w:textAlignment w:val="auto"/>
        <w:outlineLvl w:val="0"/>
        <w:rPr>
          <w:rFonts w:hint="eastAsia" w:ascii="黑体" w:hAnsi="黑体" w:eastAsia="黑体"/>
          <w:sz w:val="44"/>
          <w:szCs w:val="44"/>
        </w:rPr>
      </w:pPr>
    </w:p>
    <w:p>
      <w:pPr>
        <w:pageBreakBefore w:val="0"/>
        <w:kinsoku/>
        <w:wordWrap/>
        <w:overflowPunct/>
        <w:topLinePunct w:val="0"/>
        <w:bidi w:val="0"/>
        <w:spacing w:line="560" w:lineRule="exact"/>
        <w:jc w:val="center"/>
        <w:textAlignment w:val="auto"/>
        <w:outlineLvl w:val="0"/>
        <w:rPr>
          <w:rFonts w:hint="eastAsia" w:ascii="黑体" w:hAnsi="黑体" w:eastAsia="黑体"/>
          <w:sz w:val="44"/>
          <w:szCs w:val="44"/>
        </w:rPr>
      </w:pPr>
    </w:p>
    <w:p>
      <w:pPr>
        <w:pageBreakBefore w:val="0"/>
        <w:kinsoku/>
        <w:wordWrap/>
        <w:overflowPunct/>
        <w:topLinePunct w:val="0"/>
        <w:bidi w:val="0"/>
        <w:spacing w:line="560" w:lineRule="exact"/>
        <w:jc w:val="center"/>
        <w:textAlignment w:val="auto"/>
        <w:outlineLvl w:val="0"/>
        <w:rPr>
          <w:rFonts w:hint="eastAsia" w:ascii="黑体" w:hAnsi="黑体" w:eastAsia="黑体"/>
          <w:sz w:val="44"/>
          <w:szCs w:val="44"/>
        </w:rPr>
      </w:pPr>
    </w:p>
    <w:p>
      <w:pPr>
        <w:pageBreakBefore w:val="0"/>
        <w:kinsoku/>
        <w:wordWrap/>
        <w:overflowPunct/>
        <w:topLinePunct w:val="0"/>
        <w:bidi w:val="0"/>
        <w:spacing w:line="560" w:lineRule="exact"/>
        <w:jc w:val="center"/>
        <w:textAlignment w:val="auto"/>
        <w:outlineLvl w:val="0"/>
        <w:rPr>
          <w:rFonts w:hint="eastAsia" w:ascii="黑体" w:hAnsi="黑体" w:eastAsia="黑体"/>
          <w:sz w:val="44"/>
          <w:szCs w:val="44"/>
        </w:rPr>
      </w:pPr>
    </w:p>
    <w:p>
      <w:pPr>
        <w:pageBreakBefore w:val="0"/>
        <w:kinsoku/>
        <w:wordWrap/>
        <w:overflowPunct/>
        <w:topLinePunct w:val="0"/>
        <w:bidi w:val="0"/>
        <w:spacing w:line="560" w:lineRule="exact"/>
        <w:jc w:val="center"/>
        <w:textAlignment w:val="auto"/>
        <w:outlineLvl w:val="0"/>
        <w:rPr>
          <w:rFonts w:hint="eastAsia" w:ascii="黑体" w:hAnsi="黑体" w:eastAsia="黑体"/>
          <w:sz w:val="44"/>
          <w:szCs w:val="44"/>
        </w:rPr>
      </w:pPr>
    </w:p>
    <w:p>
      <w:pPr>
        <w:pageBreakBefore w:val="0"/>
        <w:kinsoku/>
        <w:wordWrap/>
        <w:overflowPunct/>
        <w:topLinePunct w:val="0"/>
        <w:bidi w:val="0"/>
        <w:spacing w:line="560" w:lineRule="exact"/>
        <w:jc w:val="center"/>
        <w:textAlignment w:val="auto"/>
        <w:outlineLvl w:val="0"/>
        <w:rPr>
          <w:rFonts w:hint="eastAsia" w:ascii="黑体" w:hAnsi="黑体" w:eastAsia="黑体"/>
          <w:sz w:val="44"/>
          <w:szCs w:val="44"/>
        </w:rPr>
      </w:pPr>
    </w:p>
    <w:p>
      <w:pPr>
        <w:pageBreakBefore w:val="0"/>
        <w:kinsoku/>
        <w:wordWrap/>
        <w:overflowPunct/>
        <w:topLinePunct w:val="0"/>
        <w:bidi w:val="0"/>
        <w:spacing w:line="560" w:lineRule="exact"/>
        <w:jc w:val="center"/>
        <w:textAlignment w:val="auto"/>
        <w:outlineLvl w:val="0"/>
        <w:rPr>
          <w:rFonts w:hint="eastAsia" w:ascii="黑体" w:hAnsi="黑体" w:eastAsia="黑体"/>
          <w:sz w:val="44"/>
          <w:szCs w:val="44"/>
        </w:rPr>
      </w:pPr>
    </w:p>
    <w:p>
      <w:pPr>
        <w:pageBreakBefore w:val="0"/>
        <w:kinsoku/>
        <w:wordWrap/>
        <w:overflowPunct/>
        <w:topLinePunct w:val="0"/>
        <w:bidi w:val="0"/>
        <w:spacing w:line="560" w:lineRule="exact"/>
        <w:jc w:val="center"/>
        <w:textAlignment w:val="auto"/>
        <w:outlineLvl w:val="0"/>
        <w:rPr>
          <w:rFonts w:hint="eastAsia" w:ascii="黑体" w:hAnsi="黑体" w:eastAsia="黑体"/>
          <w:sz w:val="44"/>
          <w:szCs w:val="44"/>
        </w:rPr>
      </w:pPr>
    </w:p>
    <w:p>
      <w:pPr>
        <w:pageBreakBefore w:val="0"/>
        <w:kinsoku/>
        <w:wordWrap/>
        <w:overflowPunct/>
        <w:topLinePunct w:val="0"/>
        <w:bidi w:val="0"/>
        <w:spacing w:line="560" w:lineRule="exact"/>
        <w:jc w:val="center"/>
        <w:textAlignment w:val="auto"/>
        <w:outlineLvl w:val="0"/>
        <w:rPr>
          <w:rFonts w:hint="eastAsia" w:ascii="黑体" w:hAnsi="黑体" w:eastAsia="黑体"/>
          <w:sz w:val="44"/>
          <w:szCs w:val="44"/>
        </w:rPr>
      </w:pPr>
    </w:p>
    <w:p>
      <w:pPr>
        <w:pageBreakBefore w:val="0"/>
        <w:kinsoku/>
        <w:wordWrap/>
        <w:overflowPunct/>
        <w:topLinePunct w:val="0"/>
        <w:bidi w:val="0"/>
        <w:spacing w:line="560" w:lineRule="exact"/>
        <w:jc w:val="center"/>
        <w:textAlignment w:val="auto"/>
        <w:outlineLvl w:val="0"/>
        <w:rPr>
          <w:rFonts w:hint="eastAsia" w:ascii="黑体" w:hAnsi="黑体" w:eastAsia="黑体"/>
          <w:sz w:val="44"/>
          <w:szCs w:val="44"/>
        </w:rPr>
      </w:pPr>
    </w:p>
    <w:p>
      <w:pPr>
        <w:pageBreakBefore w:val="0"/>
        <w:kinsoku/>
        <w:wordWrap/>
        <w:overflowPunct/>
        <w:topLinePunct w:val="0"/>
        <w:bidi w:val="0"/>
        <w:spacing w:line="560" w:lineRule="exact"/>
        <w:jc w:val="center"/>
        <w:textAlignment w:val="auto"/>
        <w:outlineLvl w:val="0"/>
        <w:rPr>
          <w:rFonts w:hint="eastAsia" w:ascii="黑体" w:hAnsi="黑体" w:eastAsia="黑体"/>
          <w:sz w:val="44"/>
          <w:szCs w:val="44"/>
        </w:rPr>
      </w:pPr>
    </w:p>
    <w:p>
      <w:pPr>
        <w:pageBreakBefore w:val="0"/>
        <w:kinsoku/>
        <w:wordWrap/>
        <w:overflowPunct/>
        <w:topLinePunct w:val="0"/>
        <w:bidi w:val="0"/>
        <w:spacing w:line="560" w:lineRule="exact"/>
        <w:jc w:val="center"/>
        <w:textAlignment w:val="auto"/>
        <w:outlineLvl w:val="0"/>
        <w:rPr>
          <w:rFonts w:hint="eastAsia" w:ascii="黑体" w:hAnsi="黑体" w:eastAsia="黑体"/>
          <w:sz w:val="44"/>
          <w:szCs w:val="44"/>
        </w:rPr>
      </w:pPr>
    </w:p>
    <w:p>
      <w:pPr>
        <w:pageBreakBefore w:val="0"/>
        <w:kinsoku/>
        <w:wordWrap/>
        <w:overflowPunct/>
        <w:topLinePunct w:val="0"/>
        <w:bidi w:val="0"/>
        <w:spacing w:line="560" w:lineRule="exact"/>
        <w:jc w:val="center"/>
        <w:textAlignment w:val="auto"/>
        <w:outlineLvl w:val="0"/>
        <w:rPr>
          <w:rFonts w:hint="eastAsia" w:ascii="黑体" w:hAnsi="黑体" w:eastAsia="黑体"/>
          <w:sz w:val="44"/>
          <w:szCs w:val="44"/>
        </w:rPr>
        <w:sectPr>
          <w:footerReference r:id="rId7" w:type="default"/>
          <w:pgSz w:w="11906" w:h="16838"/>
          <w:pgMar w:top="1440" w:right="1800" w:bottom="1440" w:left="1800" w:header="851" w:footer="992" w:gutter="0"/>
          <w:pgNumType w:fmt="decimal" w:start="1"/>
          <w:cols w:space="425" w:num="1"/>
          <w:docGrid w:type="lines" w:linePitch="312" w:charSpace="0"/>
        </w:sectPr>
      </w:pPr>
    </w:p>
    <w:p>
      <w:pPr>
        <w:pageBreakBefore w:val="0"/>
        <w:kinsoku/>
        <w:wordWrap/>
        <w:overflowPunct/>
        <w:topLinePunct w:val="0"/>
        <w:bidi w:val="0"/>
        <w:spacing w:line="560" w:lineRule="exact"/>
        <w:jc w:val="center"/>
        <w:textAlignment w:val="auto"/>
        <w:outlineLvl w:val="0"/>
        <w:rPr>
          <w:rFonts w:ascii="仿宋_GB2312" w:hAnsi="仿宋_GB2312" w:eastAsia="仿宋_GB2312" w:cs="仿宋_GB2312"/>
          <w:sz w:val="32"/>
          <w:szCs w:val="32"/>
        </w:rPr>
      </w:pPr>
      <w:r>
        <w:rPr>
          <w:rFonts w:hint="eastAsia" w:ascii="黑体" w:hAnsi="黑体" w:eastAsia="黑体"/>
          <w:sz w:val="44"/>
          <w:szCs w:val="44"/>
        </w:rPr>
        <w:t>第</w:t>
      </w:r>
      <w:r>
        <w:rPr>
          <w:rStyle w:val="27"/>
          <w:rFonts w:hint="eastAsia" w:ascii="黑体" w:hAnsi="黑体" w:eastAsia="黑体"/>
          <w:b w:val="0"/>
        </w:rPr>
        <w:t>四部分 附件</w:t>
      </w:r>
      <w:bookmarkEnd w:id="51"/>
    </w:p>
    <w:tbl>
      <w:tblPr>
        <w:tblStyle w:val="14"/>
        <w:tblW w:w="14262"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4"/>
        <w:gridCol w:w="1888"/>
        <w:gridCol w:w="1502"/>
        <w:gridCol w:w="748"/>
        <w:gridCol w:w="1800"/>
        <w:gridCol w:w="510"/>
        <w:gridCol w:w="690"/>
        <w:gridCol w:w="780"/>
        <w:gridCol w:w="540"/>
        <w:gridCol w:w="405"/>
        <w:gridCol w:w="975"/>
        <w:gridCol w:w="345"/>
        <w:gridCol w:w="420"/>
        <w:gridCol w:w="120"/>
        <w:gridCol w:w="630"/>
        <w:gridCol w:w="21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3" w:hRule="atLeast"/>
        </w:trPr>
        <w:tc>
          <w:tcPr>
            <w:tcW w:w="14262"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黑体" w:hAnsi="宋体" w:eastAsia="黑体" w:cs="黑体"/>
                <w:b/>
                <w:bCs/>
                <w:i w:val="0"/>
                <w:iCs w:val="0"/>
                <w:color w:val="000000"/>
                <w:sz w:val="30"/>
                <w:szCs w:val="30"/>
                <w:u w:val="none"/>
              </w:rPr>
            </w:pPr>
            <w:bookmarkStart w:id="53" w:name="_Toc15396618"/>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 w:hRule="atLeast"/>
        </w:trPr>
        <w:tc>
          <w:tcPr>
            <w:tcW w:w="26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项目名称</w:t>
            </w:r>
          </w:p>
        </w:tc>
        <w:tc>
          <w:tcPr>
            <w:tcW w:w="1161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51190223T000008770603</w:t>
            </w:r>
            <w:r>
              <w:rPr>
                <w:rFonts w:hint="eastAsia" w:ascii="宋体" w:hAnsi="宋体" w:cs="宋体"/>
                <w:i w:val="0"/>
                <w:iCs w:val="0"/>
                <w:color w:val="000000"/>
                <w:kern w:val="0"/>
                <w:sz w:val="13"/>
                <w:szCs w:val="13"/>
                <w:u w:val="none"/>
                <w:lang w:val="en-US" w:eastAsia="zh-CN" w:bidi="ar"/>
              </w:rPr>
              <w:t>-</w:t>
            </w:r>
            <w:r>
              <w:rPr>
                <w:rFonts w:ascii="宋体" w:hAnsi="宋体" w:eastAsia="宋体" w:cs="宋体"/>
                <w:i w:val="0"/>
                <w:iCs w:val="0"/>
                <w:color w:val="000000"/>
                <w:kern w:val="0"/>
                <w:sz w:val="13"/>
                <w:szCs w:val="13"/>
                <w:u w:val="none"/>
                <w:lang w:val="en-US" w:eastAsia="zh-CN" w:bidi="ar"/>
              </w:rPr>
              <w:t>国有资产管理运行经费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 w:hRule="atLeast"/>
        </w:trPr>
        <w:tc>
          <w:tcPr>
            <w:tcW w:w="26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主管部门</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sz w:val="13"/>
                <w:szCs w:val="13"/>
                <w:u w:val="none"/>
              </w:rPr>
              <w:t>区机关事务服务中心本级</w:t>
            </w:r>
          </w:p>
        </w:tc>
        <w:tc>
          <w:tcPr>
            <w:tcW w:w="2310"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3"/>
                <w:szCs w:val="13"/>
                <w:u w:val="none"/>
              </w:rPr>
            </w:pPr>
            <w:r>
              <w:rPr>
                <w:rFonts w:hint="eastAsia" w:ascii="黑体" w:hAnsi="黑体" w:eastAsia="黑体" w:cs="黑体"/>
                <w:i w:val="0"/>
                <w:iCs w:val="0"/>
                <w:color w:val="000000"/>
                <w:kern w:val="0"/>
                <w:sz w:val="13"/>
                <w:szCs w:val="13"/>
                <w:u w:val="none"/>
                <w:lang w:val="en-US" w:eastAsia="zh-CN" w:bidi="ar"/>
              </w:rPr>
              <w:t>实施单位 （盖章）</w:t>
            </w:r>
          </w:p>
        </w:tc>
        <w:tc>
          <w:tcPr>
            <w:tcW w:w="70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sz w:val="13"/>
                <w:szCs w:val="13"/>
                <w:u w:val="none"/>
              </w:rPr>
              <w:t>巴中市巴州区机关事务服务中心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项目基本情况</w:t>
            </w:r>
          </w:p>
        </w:tc>
        <w:tc>
          <w:tcPr>
            <w:tcW w:w="1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1.项目年度目标完成情况</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项目年度目标</w:t>
            </w:r>
          </w:p>
        </w:tc>
        <w:tc>
          <w:tcPr>
            <w:tcW w:w="93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3"/>
                <w:szCs w:val="13"/>
                <w:u w:val="none"/>
              </w:rPr>
            </w:pPr>
            <w:r>
              <w:rPr>
                <w:rFonts w:hint="eastAsia" w:ascii="黑体" w:hAnsi="黑体" w:eastAsia="黑体" w:cs="黑体"/>
                <w:i w:val="0"/>
                <w:iCs w:val="0"/>
                <w:color w:val="000000"/>
                <w:kern w:val="0"/>
                <w:sz w:val="13"/>
                <w:szCs w:val="13"/>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3"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3"/>
                <w:szCs w:val="13"/>
                <w:u w:val="none"/>
              </w:rPr>
            </w:pPr>
          </w:p>
        </w:tc>
        <w:tc>
          <w:tcPr>
            <w:tcW w:w="1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3"/>
                <w:szCs w:val="13"/>
                <w:u w:val="none"/>
              </w:rPr>
            </w:pP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rPr>
              <w:t>做好全区行政事业单位国有资产的产权界定、清查登记、资产处置、调剂安排、维修管理等相关服务工作</w:t>
            </w:r>
            <w:r>
              <w:rPr>
                <w:rFonts w:hint="eastAsia" w:ascii="宋体" w:hAnsi="宋体" w:cs="宋体"/>
                <w:i w:val="0"/>
                <w:iCs w:val="0"/>
                <w:color w:val="000000"/>
                <w:sz w:val="13"/>
                <w:szCs w:val="13"/>
                <w:u w:val="none"/>
                <w:lang w:eastAsia="zh-CN"/>
              </w:rPr>
              <w:t>。</w:t>
            </w:r>
          </w:p>
        </w:tc>
        <w:tc>
          <w:tcPr>
            <w:tcW w:w="93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黑体" w:hAnsi="黑体" w:eastAsia="黑体" w:cs="黑体"/>
                <w:i w:val="0"/>
                <w:iCs w:val="0"/>
                <w:color w:val="000000"/>
                <w:sz w:val="13"/>
                <w:szCs w:val="13"/>
                <w:u w:val="none"/>
              </w:rPr>
            </w:pPr>
            <w:r>
              <w:rPr>
                <w:rFonts w:hint="eastAsia" w:ascii="黑体" w:hAnsi="黑体" w:eastAsia="黑体" w:cs="黑体"/>
                <w:i w:val="0"/>
                <w:iCs w:val="0"/>
                <w:color w:val="000000"/>
                <w:sz w:val="13"/>
                <w:szCs w:val="13"/>
                <w:u w:val="none"/>
                <w:lang w:val="en-US" w:eastAsia="zh-CN"/>
              </w:rPr>
              <w:t>一是有序开展巴州区行政事业性国有资产报表填报。审核、分析并汇总上报了2023年全区资产报表。二是做好国有资产管理及处置等相关服务。今年来，完成69个单位和3个乡镇的资产核查核对，其中包括：房屋、土地资产273宗，大型专用设备38台，车辆231辆。三是开展党政机关办公用房信息统计。审核、汇总上报了全区232家相关单位及22个乡镇的数据。四是完成了区应急管理局、区电化教育馆等17个单位待处置资产的清点核实工作，处置资产价值179万余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3"/>
                <w:szCs w:val="13"/>
                <w:u w:val="none"/>
              </w:rPr>
            </w:pP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2.项目实施内容及过程概述</w:t>
            </w:r>
          </w:p>
        </w:tc>
        <w:tc>
          <w:tcPr>
            <w:tcW w:w="1161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sz w:val="13"/>
                <w:szCs w:val="13"/>
                <w:u w:val="none"/>
              </w:rPr>
              <w:t>做好全区行政事业单位国有资产的产权界定、清查登记、资产处置、调剂安排、维修管理等相关服务工作，以防国有资产流失。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预算执行情况（10分）</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年度预算数（万元）</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年初预算</w:t>
            </w:r>
          </w:p>
        </w:tc>
        <w:tc>
          <w:tcPr>
            <w:tcW w:w="25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调整后预算数</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预算执行数</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预算执行率</w:t>
            </w:r>
          </w:p>
        </w:tc>
        <w:tc>
          <w:tcPr>
            <w:tcW w:w="21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权重</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得分</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总额</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3"/>
                <w:szCs w:val="13"/>
                <w:u w:val="none"/>
                <w:lang w:val="en-US"/>
              </w:rPr>
            </w:pPr>
            <w:r>
              <w:rPr>
                <w:rFonts w:hint="eastAsia" w:ascii="宋体" w:hAnsi="宋体" w:eastAsia="宋体" w:cs="宋体"/>
                <w:i w:val="0"/>
                <w:iCs w:val="0"/>
                <w:color w:val="000000"/>
                <w:kern w:val="0"/>
                <w:sz w:val="13"/>
                <w:szCs w:val="13"/>
                <w:u w:val="none"/>
                <w:lang w:val="en-US" w:eastAsia="zh-CN" w:bidi="ar"/>
              </w:rPr>
              <w:t>10</w:t>
            </w:r>
          </w:p>
        </w:tc>
        <w:tc>
          <w:tcPr>
            <w:tcW w:w="25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3"/>
                <w:szCs w:val="13"/>
                <w:u w:val="none"/>
                <w:lang w:val="en-US"/>
              </w:rPr>
            </w:pPr>
            <w:r>
              <w:rPr>
                <w:rFonts w:hint="eastAsia" w:ascii="宋体" w:hAnsi="宋体" w:eastAsia="宋体" w:cs="宋体"/>
                <w:i w:val="0"/>
                <w:iCs w:val="0"/>
                <w:color w:val="000000"/>
                <w:kern w:val="0"/>
                <w:sz w:val="13"/>
                <w:szCs w:val="13"/>
                <w:u w:val="none"/>
                <w:lang w:val="en-US" w:eastAsia="zh-CN" w:bidi="ar"/>
              </w:rPr>
              <w:t>10</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3"/>
                <w:szCs w:val="13"/>
                <w:u w:val="none"/>
                <w:lang w:val="en-US"/>
              </w:rPr>
            </w:pPr>
            <w:r>
              <w:rPr>
                <w:rFonts w:hint="eastAsia" w:ascii="宋体" w:hAnsi="宋体" w:eastAsia="宋体" w:cs="宋体"/>
                <w:i w:val="0"/>
                <w:iCs w:val="0"/>
                <w:color w:val="000000"/>
                <w:kern w:val="0"/>
                <w:sz w:val="13"/>
                <w:szCs w:val="13"/>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100</w:t>
            </w:r>
            <w:r>
              <w:rPr>
                <w:rFonts w:ascii="宋体" w:hAnsi="宋体" w:eastAsia="宋体" w:cs="宋体"/>
                <w:i w:val="0"/>
                <w:iCs w:val="0"/>
                <w:color w:val="000000"/>
                <w:kern w:val="0"/>
                <w:sz w:val="13"/>
                <w:szCs w:val="13"/>
                <w:u w:val="none"/>
                <w:lang w:val="en-US" w:eastAsia="zh-CN" w:bidi="ar"/>
              </w:rPr>
              <w:t>%</w:t>
            </w:r>
          </w:p>
        </w:tc>
        <w:tc>
          <w:tcPr>
            <w:tcW w:w="21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10</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10</w:t>
            </w:r>
          </w:p>
        </w:tc>
        <w:tc>
          <w:tcPr>
            <w:tcW w:w="21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其中：财政资金</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3"/>
                <w:szCs w:val="13"/>
                <w:u w:val="none"/>
                <w:lang w:val="en-US"/>
              </w:rPr>
            </w:pPr>
            <w:r>
              <w:rPr>
                <w:rFonts w:hint="eastAsia" w:ascii="宋体" w:hAnsi="宋体" w:eastAsia="宋体" w:cs="宋体"/>
                <w:i w:val="0"/>
                <w:iCs w:val="0"/>
                <w:color w:val="000000"/>
                <w:kern w:val="0"/>
                <w:sz w:val="13"/>
                <w:szCs w:val="13"/>
                <w:u w:val="none"/>
                <w:lang w:val="en-US" w:eastAsia="zh-CN" w:bidi="ar"/>
              </w:rPr>
              <w:t>10</w:t>
            </w:r>
          </w:p>
        </w:tc>
        <w:tc>
          <w:tcPr>
            <w:tcW w:w="25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10</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100</w:t>
            </w:r>
            <w:r>
              <w:rPr>
                <w:rFonts w:ascii="宋体" w:hAnsi="宋体" w:eastAsia="宋体" w:cs="宋体"/>
                <w:i w:val="0"/>
                <w:iCs w:val="0"/>
                <w:color w:val="000000"/>
                <w:kern w:val="0"/>
                <w:sz w:val="13"/>
                <w:szCs w:val="13"/>
                <w:u w:val="none"/>
                <w:lang w:val="en-US" w:eastAsia="zh-CN" w:bidi="ar"/>
              </w:rPr>
              <w:t>%</w:t>
            </w:r>
          </w:p>
        </w:tc>
        <w:tc>
          <w:tcPr>
            <w:tcW w:w="21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w:t>
            </w:r>
          </w:p>
        </w:tc>
        <w:tc>
          <w:tcPr>
            <w:tcW w:w="21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财政专户管理资金</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0.00</w:t>
            </w:r>
          </w:p>
        </w:tc>
        <w:tc>
          <w:tcPr>
            <w:tcW w:w="25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0.00%</w:t>
            </w:r>
          </w:p>
        </w:tc>
        <w:tc>
          <w:tcPr>
            <w:tcW w:w="21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w:t>
            </w:r>
          </w:p>
        </w:tc>
        <w:tc>
          <w:tcPr>
            <w:tcW w:w="21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单位资金</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0.00</w:t>
            </w:r>
          </w:p>
        </w:tc>
        <w:tc>
          <w:tcPr>
            <w:tcW w:w="25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0.00%</w:t>
            </w:r>
          </w:p>
        </w:tc>
        <w:tc>
          <w:tcPr>
            <w:tcW w:w="21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w:t>
            </w:r>
          </w:p>
        </w:tc>
        <w:tc>
          <w:tcPr>
            <w:tcW w:w="21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其他资金</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25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21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w:t>
            </w:r>
          </w:p>
        </w:tc>
        <w:tc>
          <w:tcPr>
            <w:tcW w:w="21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绩效指标（90分）</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一级指标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二级指标</w:t>
            </w:r>
          </w:p>
        </w:tc>
        <w:tc>
          <w:tcPr>
            <w:tcW w:w="25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三级指标</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指标性质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指标值</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度量单位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完成值</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权重</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得分</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p>
        </w:tc>
        <w:tc>
          <w:tcPr>
            <w:tcW w:w="1888"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lang w:eastAsia="zh-CN"/>
              </w:rPr>
            </w:pPr>
            <w:r>
              <w:rPr>
                <w:rFonts w:hint="eastAsia" w:ascii="宋体" w:hAnsi="宋体" w:eastAsia="宋体" w:cs="宋体"/>
                <w:i w:val="0"/>
                <w:iCs w:val="0"/>
                <w:color w:val="000000"/>
                <w:sz w:val="13"/>
                <w:szCs w:val="13"/>
                <w:u w:val="none"/>
                <w:lang w:eastAsia="zh-CN"/>
              </w:rPr>
              <w:t>产出指标</w:t>
            </w:r>
          </w:p>
        </w:tc>
        <w:tc>
          <w:tcPr>
            <w:tcW w:w="1502"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lang w:eastAsia="zh-CN"/>
              </w:rPr>
            </w:pPr>
            <w:r>
              <w:rPr>
                <w:rFonts w:hint="eastAsia" w:ascii="宋体" w:hAnsi="宋体" w:eastAsia="宋体" w:cs="宋体"/>
                <w:i w:val="0"/>
                <w:iCs w:val="0"/>
                <w:color w:val="000000"/>
                <w:sz w:val="13"/>
                <w:szCs w:val="13"/>
                <w:u w:val="none"/>
                <w:lang w:eastAsia="zh-CN"/>
              </w:rPr>
              <w:t>时效指标</w:t>
            </w:r>
          </w:p>
        </w:tc>
        <w:tc>
          <w:tcPr>
            <w:tcW w:w="2548"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lang w:eastAsia="zh-CN"/>
              </w:rPr>
            </w:pPr>
            <w:r>
              <w:rPr>
                <w:rFonts w:hint="eastAsia" w:ascii="宋体" w:hAnsi="宋体" w:eastAsia="宋体" w:cs="宋体"/>
                <w:i w:val="0"/>
                <w:iCs w:val="0"/>
                <w:color w:val="000000"/>
                <w:sz w:val="13"/>
                <w:szCs w:val="13"/>
                <w:u w:val="none"/>
                <w:lang w:eastAsia="zh-CN"/>
              </w:rPr>
              <w:t>完成时间</w:t>
            </w:r>
          </w:p>
        </w:tc>
        <w:tc>
          <w:tcPr>
            <w:tcW w:w="1200"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w:t>
            </w:r>
          </w:p>
        </w:tc>
        <w:tc>
          <w:tcPr>
            <w:tcW w:w="780"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2023</w:t>
            </w:r>
          </w:p>
        </w:tc>
        <w:tc>
          <w:tcPr>
            <w:tcW w:w="94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lang w:eastAsia="zh-CN"/>
              </w:rPr>
            </w:pPr>
            <w:r>
              <w:rPr>
                <w:rFonts w:hint="eastAsia" w:ascii="宋体" w:hAnsi="宋体" w:eastAsia="宋体" w:cs="宋体"/>
                <w:i w:val="0"/>
                <w:iCs w:val="0"/>
                <w:color w:val="000000"/>
                <w:sz w:val="13"/>
                <w:szCs w:val="13"/>
                <w:u w:val="none"/>
                <w:lang w:eastAsia="zh-CN"/>
              </w:rPr>
              <w:t>年</w:t>
            </w:r>
          </w:p>
        </w:tc>
        <w:tc>
          <w:tcPr>
            <w:tcW w:w="975"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3"/>
                <w:szCs w:val="13"/>
                <w:u w:val="none"/>
                <w:lang w:val="en-US" w:eastAsia="zh-CN"/>
              </w:rPr>
            </w:pPr>
            <w:r>
              <w:rPr>
                <w:rFonts w:hint="eastAsia" w:ascii="微软雅黑" w:hAnsi="微软雅黑" w:eastAsia="微软雅黑" w:cs="微软雅黑"/>
                <w:i/>
                <w:iCs/>
                <w:color w:val="000000"/>
                <w:sz w:val="13"/>
                <w:szCs w:val="13"/>
                <w:u w:val="none"/>
                <w:lang w:val="en-US" w:eastAsia="zh-CN"/>
              </w:rPr>
              <w:t>2023年</w:t>
            </w:r>
          </w:p>
        </w:tc>
        <w:tc>
          <w:tcPr>
            <w:tcW w:w="76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10</w:t>
            </w:r>
          </w:p>
        </w:tc>
        <w:tc>
          <w:tcPr>
            <w:tcW w:w="750"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10</w:t>
            </w:r>
          </w:p>
        </w:tc>
        <w:tc>
          <w:tcPr>
            <w:tcW w:w="2145" w:type="dxa"/>
            <w:tcBorders>
              <w:top w:val="single" w:color="000000" w:sz="4" w:space="0"/>
              <w:left w:val="single" w:color="000000" w:sz="4" w:space="0"/>
              <w:bottom w:val="single" w:color="auto" w:sz="4" w:space="0"/>
              <w:right w:val="single" w:color="000000" w:sz="4" w:space="0"/>
            </w:tcBorders>
            <w:shd w:val="clear" w:color="auto" w:fill="auto"/>
            <w:vAlign w:val="center"/>
          </w:tcPr>
          <w:p>
            <w:pPr>
              <w:ind w:right="1487" w:rightChars="708"/>
              <w:jc w:val="both"/>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p>
        </w:tc>
        <w:tc>
          <w:tcPr>
            <w:tcW w:w="1888" w:type="dxa"/>
            <w:vMerge w:val="continue"/>
            <w:tcBorders>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p>
        </w:tc>
        <w:tc>
          <w:tcPr>
            <w:tcW w:w="1502" w:type="dxa"/>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lang w:eastAsia="zh-CN"/>
              </w:rPr>
            </w:pPr>
            <w:r>
              <w:rPr>
                <w:rFonts w:hint="eastAsia" w:ascii="宋体" w:hAnsi="宋体" w:eastAsia="宋体" w:cs="宋体"/>
                <w:i w:val="0"/>
                <w:iCs w:val="0"/>
                <w:color w:val="000000"/>
                <w:sz w:val="13"/>
                <w:szCs w:val="13"/>
                <w:u w:val="none"/>
                <w:lang w:eastAsia="zh-CN"/>
              </w:rPr>
              <w:t>成本指标</w:t>
            </w:r>
          </w:p>
        </w:tc>
        <w:tc>
          <w:tcPr>
            <w:tcW w:w="2548"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lang w:eastAsia="zh-CN"/>
              </w:rPr>
            </w:pPr>
            <w:r>
              <w:rPr>
                <w:rFonts w:hint="eastAsia" w:ascii="宋体" w:hAnsi="宋体" w:eastAsia="宋体" w:cs="宋体"/>
                <w:i w:val="0"/>
                <w:iCs w:val="0"/>
                <w:color w:val="000000"/>
                <w:sz w:val="13"/>
                <w:szCs w:val="13"/>
                <w:u w:val="none"/>
                <w:lang w:eastAsia="zh-CN"/>
              </w:rPr>
              <w:t>达到目标数的单位成本</w:t>
            </w:r>
          </w:p>
        </w:tc>
        <w:tc>
          <w:tcPr>
            <w:tcW w:w="1200"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w:t>
            </w:r>
          </w:p>
        </w:tc>
        <w:tc>
          <w:tcPr>
            <w:tcW w:w="780" w:type="dxa"/>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10</w:t>
            </w:r>
          </w:p>
        </w:tc>
        <w:tc>
          <w:tcPr>
            <w:tcW w:w="945"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lang w:eastAsia="zh-CN"/>
              </w:rPr>
            </w:pPr>
            <w:r>
              <w:rPr>
                <w:rFonts w:hint="eastAsia" w:ascii="宋体" w:hAnsi="宋体" w:eastAsia="宋体" w:cs="宋体"/>
                <w:i w:val="0"/>
                <w:iCs w:val="0"/>
                <w:color w:val="000000"/>
                <w:sz w:val="13"/>
                <w:szCs w:val="13"/>
                <w:u w:val="none"/>
                <w:lang w:eastAsia="zh-CN"/>
              </w:rPr>
              <w:t>万元</w:t>
            </w:r>
          </w:p>
        </w:tc>
        <w:tc>
          <w:tcPr>
            <w:tcW w:w="975" w:type="dxa"/>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3"/>
                <w:szCs w:val="13"/>
                <w:u w:val="none"/>
                <w:lang w:val="en-US" w:eastAsia="zh-CN"/>
              </w:rPr>
            </w:pPr>
            <w:r>
              <w:rPr>
                <w:rFonts w:hint="eastAsia" w:ascii="微软雅黑" w:hAnsi="微软雅黑" w:eastAsia="微软雅黑" w:cs="微软雅黑"/>
                <w:i/>
                <w:iCs/>
                <w:color w:val="000000"/>
                <w:sz w:val="13"/>
                <w:szCs w:val="13"/>
                <w:u w:val="none"/>
                <w:lang w:val="en-US" w:eastAsia="zh-CN"/>
              </w:rPr>
              <w:t>10万元</w:t>
            </w:r>
          </w:p>
        </w:tc>
        <w:tc>
          <w:tcPr>
            <w:tcW w:w="765"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15</w:t>
            </w:r>
          </w:p>
        </w:tc>
        <w:tc>
          <w:tcPr>
            <w:tcW w:w="750"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15</w:t>
            </w:r>
          </w:p>
        </w:tc>
        <w:tc>
          <w:tcPr>
            <w:tcW w:w="2145" w:type="dxa"/>
            <w:tcBorders>
              <w:top w:val="single" w:color="auto" w:sz="4" w:space="0"/>
              <w:left w:val="single" w:color="000000" w:sz="4" w:space="0"/>
              <w:bottom w:val="single" w:color="auto" w:sz="4" w:space="0"/>
              <w:right w:val="single" w:color="000000" w:sz="4" w:space="0"/>
            </w:tcBorders>
            <w:shd w:val="clear" w:color="auto" w:fill="auto"/>
            <w:vAlign w:val="center"/>
          </w:tcPr>
          <w:p>
            <w:pPr>
              <w:ind w:right="1487" w:rightChars="708"/>
              <w:jc w:val="both"/>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p>
        </w:tc>
        <w:tc>
          <w:tcPr>
            <w:tcW w:w="1888" w:type="dxa"/>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lang w:eastAsia="zh-CN"/>
              </w:rPr>
            </w:pPr>
            <w:r>
              <w:rPr>
                <w:rFonts w:hint="eastAsia" w:ascii="宋体" w:hAnsi="宋体" w:eastAsia="宋体" w:cs="宋体"/>
                <w:i w:val="0"/>
                <w:iCs w:val="0"/>
                <w:color w:val="000000"/>
                <w:sz w:val="13"/>
                <w:szCs w:val="13"/>
                <w:u w:val="none"/>
                <w:lang w:eastAsia="zh-CN"/>
              </w:rPr>
              <w:t>效益指标</w:t>
            </w:r>
          </w:p>
        </w:tc>
        <w:tc>
          <w:tcPr>
            <w:tcW w:w="1502" w:type="dxa"/>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eastAsia="zh-CN"/>
              </w:rPr>
              <w:t>经济效益指标</w:t>
            </w:r>
          </w:p>
        </w:tc>
        <w:tc>
          <w:tcPr>
            <w:tcW w:w="2548"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sz w:val="13"/>
                <w:szCs w:val="13"/>
                <w:u w:val="none"/>
              </w:rPr>
              <w:t>加强非经营性国有资产相关服务工作</w:t>
            </w:r>
          </w:p>
        </w:tc>
        <w:tc>
          <w:tcPr>
            <w:tcW w:w="1200"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w:t>
            </w:r>
          </w:p>
        </w:tc>
        <w:tc>
          <w:tcPr>
            <w:tcW w:w="780" w:type="dxa"/>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100</w:t>
            </w:r>
          </w:p>
        </w:tc>
        <w:tc>
          <w:tcPr>
            <w:tcW w:w="945"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w:t>
            </w:r>
          </w:p>
        </w:tc>
        <w:tc>
          <w:tcPr>
            <w:tcW w:w="975" w:type="dxa"/>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3"/>
                <w:szCs w:val="13"/>
                <w:u w:val="none"/>
                <w:lang w:val="en-US" w:eastAsia="zh-CN"/>
              </w:rPr>
            </w:pPr>
            <w:r>
              <w:rPr>
                <w:rFonts w:hint="eastAsia" w:ascii="微软雅黑" w:hAnsi="微软雅黑" w:eastAsia="微软雅黑" w:cs="微软雅黑"/>
                <w:i/>
                <w:iCs/>
                <w:color w:val="000000"/>
                <w:sz w:val="13"/>
                <w:szCs w:val="13"/>
                <w:u w:val="none"/>
                <w:lang w:val="en-US" w:eastAsia="zh-CN"/>
              </w:rPr>
              <w:t>100%</w:t>
            </w:r>
          </w:p>
        </w:tc>
        <w:tc>
          <w:tcPr>
            <w:tcW w:w="765"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40</w:t>
            </w:r>
          </w:p>
        </w:tc>
        <w:tc>
          <w:tcPr>
            <w:tcW w:w="750"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40</w:t>
            </w:r>
          </w:p>
        </w:tc>
        <w:tc>
          <w:tcPr>
            <w:tcW w:w="2145" w:type="dxa"/>
            <w:tcBorders>
              <w:top w:val="single" w:color="auto" w:sz="4" w:space="0"/>
              <w:left w:val="single" w:color="000000" w:sz="4" w:space="0"/>
              <w:bottom w:val="single" w:color="auto" w:sz="4" w:space="0"/>
              <w:right w:val="single" w:color="000000" w:sz="4" w:space="0"/>
            </w:tcBorders>
            <w:shd w:val="clear" w:color="auto" w:fill="auto"/>
            <w:vAlign w:val="center"/>
          </w:tcPr>
          <w:p>
            <w:pPr>
              <w:ind w:right="1487" w:rightChars="708"/>
              <w:jc w:val="both"/>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764"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p>
        </w:tc>
        <w:tc>
          <w:tcPr>
            <w:tcW w:w="1888"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lang w:eastAsia="zh-CN"/>
              </w:rPr>
            </w:pPr>
            <w:r>
              <w:rPr>
                <w:rFonts w:hint="eastAsia" w:ascii="宋体" w:hAnsi="宋体" w:eastAsia="宋体" w:cs="宋体"/>
                <w:i w:val="0"/>
                <w:iCs w:val="0"/>
                <w:color w:val="000000"/>
                <w:sz w:val="13"/>
                <w:szCs w:val="13"/>
                <w:u w:val="none"/>
                <w:lang w:eastAsia="zh-CN"/>
              </w:rPr>
              <w:t>满意度指标</w:t>
            </w:r>
          </w:p>
        </w:tc>
        <w:tc>
          <w:tcPr>
            <w:tcW w:w="1502"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lang w:eastAsia="zh-CN"/>
              </w:rPr>
            </w:pPr>
            <w:r>
              <w:rPr>
                <w:rFonts w:hint="eastAsia" w:ascii="宋体" w:hAnsi="宋体" w:eastAsia="宋体" w:cs="宋体"/>
                <w:i w:val="0"/>
                <w:iCs w:val="0"/>
                <w:color w:val="000000"/>
                <w:sz w:val="13"/>
                <w:szCs w:val="13"/>
                <w:u w:val="none"/>
                <w:lang w:eastAsia="zh-CN"/>
              </w:rPr>
              <w:t>服务对象满意度指标</w:t>
            </w:r>
          </w:p>
        </w:tc>
        <w:tc>
          <w:tcPr>
            <w:tcW w:w="2548"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sz w:val="13"/>
                <w:szCs w:val="13"/>
                <w:u w:val="none"/>
              </w:rPr>
              <w:t>服务对象的满意程度</w:t>
            </w:r>
          </w:p>
        </w:tc>
        <w:tc>
          <w:tcPr>
            <w:tcW w:w="1200"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rPr>
            </w:pPr>
            <w:r>
              <w:rPr>
                <w:rFonts w:hint="default" w:ascii="Arial" w:hAnsi="Arial" w:eastAsia="宋体" w:cs="Arial"/>
                <w:i w:val="0"/>
                <w:iCs w:val="0"/>
                <w:color w:val="000000"/>
                <w:sz w:val="13"/>
                <w:szCs w:val="13"/>
                <w:u w:val="none"/>
              </w:rPr>
              <w:t>≥</w:t>
            </w:r>
          </w:p>
        </w:tc>
        <w:tc>
          <w:tcPr>
            <w:tcW w:w="780"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98</w:t>
            </w:r>
          </w:p>
        </w:tc>
        <w:tc>
          <w:tcPr>
            <w:tcW w:w="945"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w:t>
            </w:r>
          </w:p>
        </w:tc>
        <w:tc>
          <w:tcPr>
            <w:tcW w:w="975"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3"/>
                <w:szCs w:val="13"/>
                <w:u w:val="none"/>
                <w:lang w:val="en-US" w:eastAsia="zh-CN"/>
              </w:rPr>
            </w:pPr>
            <w:r>
              <w:rPr>
                <w:rFonts w:hint="eastAsia" w:ascii="微软雅黑" w:hAnsi="微软雅黑" w:eastAsia="微软雅黑" w:cs="微软雅黑"/>
                <w:i/>
                <w:iCs/>
                <w:color w:val="000000"/>
                <w:sz w:val="13"/>
                <w:szCs w:val="13"/>
                <w:u w:val="none"/>
                <w:lang w:val="en-US" w:eastAsia="zh-CN"/>
              </w:rPr>
              <w:t>98%</w:t>
            </w:r>
          </w:p>
        </w:tc>
        <w:tc>
          <w:tcPr>
            <w:tcW w:w="765"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30</w:t>
            </w:r>
          </w:p>
        </w:tc>
        <w:tc>
          <w:tcPr>
            <w:tcW w:w="750"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30</w:t>
            </w:r>
          </w:p>
        </w:tc>
        <w:tc>
          <w:tcPr>
            <w:tcW w:w="2145" w:type="dxa"/>
            <w:tcBorders>
              <w:top w:val="single" w:color="auto" w:sz="4" w:space="0"/>
              <w:left w:val="single" w:color="000000" w:sz="4" w:space="0"/>
              <w:bottom w:val="single" w:color="000000" w:sz="4" w:space="0"/>
              <w:right w:val="single" w:color="000000" w:sz="4" w:space="0"/>
            </w:tcBorders>
            <w:shd w:val="clear" w:color="auto" w:fill="auto"/>
            <w:vAlign w:val="center"/>
          </w:tcPr>
          <w:p>
            <w:pPr>
              <w:ind w:right="1487" w:rightChars="708"/>
              <w:jc w:val="both"/>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790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合计</w:t>
            </w:r>
          </w:p>
        </w:tc>
        <w:tc>
          <w:tcPr>
            <w:tcW w:w="3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100</w:t>
            </w:r>
          </w:p>
        </w:tc>
        <w:tc>
          <w:tcPr>
            <w:tcW w:w="5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3"/>
                <w:szCs w:val="13"/>
                <w:u w:val="none"/>
                <w:lang w:val="en-US" w:eastAsia="zh-CN"/>
              </w:rPr>
            </w:pPr>
            <w:r>
              <w:rPr>
                <w:rFonts w:hint="eastAsia" w:ascii="宋体" w:hAnsi="宋体" w:eastAsia="宋体" w:cs="宋体"/>
                <w:i w:val="0"/>
                <w:iCs w:val="0"/>
                <w:color w:val="000000"/>
                <w:sz w:val="13"/>
                <w:szCs w:val="13"/>
                <w:u w:val="none"/>
                <w:lang w:val="en-US" w:eastAsia="zh-CN"/>
              </w:rPr>
              <w:t>100</w:t>
            </w:r>
          </w:p>
        </w:tc>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评价结论</w:t>
            </w:r>
          </w:p>
        </w:tc>
        <w:tc>
          <w:tcPr>
            <w:tcW w:w="13498"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微软雅黑" w:hAnsi="微软雅黑" w:eastAsia="微软雅黑" w:cs="微软雅黑"/>
                <w:i/>
                <w:iCs/>
                <w:color w:val="000000"/>
                <w:sz w:val="13"/>
                <w:szCs w:val="13"/>
                <w:u w:val="none"/>
              </w:rPr>
            </w:pPr>
            <w:r>
              <w:rPr>
                <w:rFonts w:hint="eastAsia" w:ascii="黑体" w:hAnsi="黑体" w:eastAsia="黑体" w:cs="黑体"/>
                <w:i w:val="0"/>
                <w:iCs w:val="0"/>
                <w:color w:val="000000"/>
                <w:sz w:val="13"/>
                <w:szCs w:val="13"/>
                <w:u w:val="none"/>
                <w:lang w:val="en-US" w:eastAsia="zh-CN"/>
              </w:rPr>
              <w:t>国有资产管理经费全年预算数10万元，执行数为10万元，完成预算的100%。本年度稳步推进资产管理工作。一是有序开展巴州区行政事业性国有资产报表填报。审核、分析并汇总上报了2023年全区资产报表。二是做好国有资产管理及处置等相关服务。完成69个单位和3个乡镇的资产核查核对，其中包括：房屋、土地资产273宗，大型专用设备38台，车辆231辆。三是开展党政机关办公用房信息统计。审核、汇总上报了全区232家相关单位及22个乡镇的数据。四是完成了区应急管理局、区电化教育馆等17个单位待处置资产的清点核实工作，处置资产价值179万余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7"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存在问题</w:t>
            </w:r>
          </w:p>
        </w:tc>
        <w:tc>
          <w:tcPr>
            <w:tcW w:w="13498"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微软雅黑" w:hAnsi="微软雅黑" w:eastAsia="微软雅黑" w:cs="微软雅黑"/>
                <w:i/>
                <w:iCs/>
                <w:color w:val="000000"/>
                <w:sz w:val="13"/>
                <w:szCs w:val="13"/>
                <w:u w:val="none"/>
              </w:rPr>
            </w:pPr>
            <w:r>
              <w:rPr>
                <w:rFonts w:hint="eastAsia" w:ascii="微软雅黑" w:hAnsi="微软雅黑" w:eastAsia="微软雅黑" w:cs="微软雅黑"/>
                <w:i/>
                <w:iCs/>
                <w:color w:val="000000"/>
                <w:kern w:val="0"/>
                <w:sz w:val="13"/>
                <w:szCs w:val="13"/>
                <w:u w:val="none"/>
                <w:lang w:val="en-US" w:eastAsia="zh-CN" w:bidi="ar"/>
              </w:rPr>
              <w:t>一是资产管理部规范。资产移交过程中没有及时对卡片信息进行更新，更换较为随意；二是资产清查不及时。单位未定期组织全面的资产清查工作，资产清查过程中没有对存在的问题进行建设整改，导致问题遗留；三是处置不及时。因单位管理存在缺失，导致资产未能进行及时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lang w:val="en-US" w:eastAsia="zh-CN" w:bidi="ar"/>
              </w:rPr>
              <w:t>改进措施</w:t>
            </w:r>
          </w:p>
        </w:tc>
        <w:tc>
          <w:tcPr>
            <w:tcW w:w="13498"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3"/>
                <w:szCs w:val="13"/>
                <w:u w:val="none"/>
              </w:rPr>
            </w:pPr>
            <w:r>
              <w:rPr>
                <w:rFonts w:hint="eastAsia" w:ascii="微软雅黑" w:hAnsi="微软雅黑" w:eastAsia="微软雅黑" w:cs="微软雅黑"/>
                <w:i/>
                <w:iCs/>
                <w:color w:val="000000"/>
                <w:kern w:val="0"/>
                <w:sz w:val="13"/>
                <w:szCs w:val="13"/>
                <w:u w:val="none"/>
                <w:lang w:val="en-US" w:eastAsia="zh-CN" w:bidi="ar"/>
              </w:rPr>
              <w:t>一是增强固定资产管理人员责任意识、提升业务水平。二是建立健全固定资产管理制度体系。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0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3"/>
                <w:szCs w:val="13"/>
                <w:u w:val="none"/>
              </w:rPr>
            </w:pPr>
            <w:r>
              <w:rPr>
                <w:rFonts w:hint="eastAsia" w:ascii="黑体" w:hAnsi="黑体" w:eastAsia="黑体" w:cs="黑体"/>
                <w:i w:val="0"/>
                <w:iCs w:val="0"/>
                <w:color w:val="000000"/>
                <w:kern w:val="0"/>
                <w:sz w:val="13"/>
                <w:szCs w:val="13"/>
                <w:u w:val="none"/>
                <w:lang w:val="en-US" w:eastAsia="zh-CN" w:bidi="ar"/>
              </w:rPr>
              <w:t>项目负责人：冯柯茜</w:t>
            </w:r>
          </w:p>
        </w:tc>
        <w:tc>
          <w:tcPr>
            <w:tcW w:w="6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3"/>
                <w:szCs w:val="13"/>
                <w:u w:val="none"/>
              </w:rPr>
            </w:pPr>
            <w:r>
              <w:rPr>
                <w:rFonts w:hint="eastAsia" w:ascii="黑体" w:hAnsi="黑体" w:eastAsia="黑体" w:cs="黑体"/>
                <w:i w:val="0"/>
                <w:iCs w:val="0"/>
                <w:color w:val="000000"/>
                <w:kern w:val="0"/>
                <w:sz w:val="13"/>
                <w:szCs w:val="13"/>
                <w:u w:val="none"/>
                <w:lang w:val="en-US" w:eastAsia="zh-CN" w:bidi="ar"/>
              </w:rPr>
              <w:t>财务负责人：黄小丽</w:t>
            </w:r>
          </w:p>
        </w:tc>
      </w:tr>
    </w:tbl>
    <w:p>
      <w:pPr>
        <w:pStyle w:val="2"/>
        <w:pageBreakBefore w:val="0"/>
        <w:kinsoku/>
        <w:wordWrap/>
        <w:overflowPunct/>
        <w:topLinePunct w:val="0"/>
        <w:bidi w:val="0"/>
        <w:spacing w:before="93" w:line="560" w:lineRule="exact"/>
        <w:textAlignment w:val="auto"/>
        <w:rPr>
          <w:rFonts w:hAnsi="Calibri" w:cs="仿宋"/>
          <w:sz w:val="32"/>
          <w:szCs w:val="32"/>
        </w:rPr>
        <w:sectPr>
          <w:headerReference r:id="rId9" w:type="first"/>
          <w:headerReference r:id="rId8" w:type="default"/>
          <w:pgSz w:w="16838" w:h="11906" w:orient="landscape"/>
          <w:pgMar w:top="1803" w:right="1440" w:bottom="1803" w:left="1440" w:header="851" w:footer="992" w:gutter="0"/>
          <w:pgNumType w:fmt="decimal"/>
          <w:cols w:space="0" w:num="1"/>
          <w:rtlGutter w:val="0"/>
          <w:docGrid w:type="lines" w:linePitch="319" w:charSpace="0"/>
        </w:sectPr>
      </w:pPr>
    </w:p>
    <w:tbl>
      <w:tblPr>
        <w:tblStyle w:val="14"/>
        <w:tblW w:w="15246" w:type="dxa"/>
        <w:tblInd w:w="-36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0"/>
        <w:gridCol w:w="540"/>
        <w:gridCol w:w="463"/>
        <w:gridCol w:w="1335"/>
        <w:gridCol w:w="381"/>
        <w:gridCol w:w="1421"/>
        <w:gridCol w:w="146"/>
        <w:gridCol w:w="122"/>
        <w:gridCol w:w="1024"/>
        <w:gridCol w:w="115"/>
        <w:gridCol w:w="1215"/>
        <w:gridCol w:w="545"/>
        <w:gridCol w:w="496"/>
        <w:gridCol w:w="554"/>
        <w:gridCol w:w="280"/>
        <w:gridCol w:w="503"/>
        <w:gridCol w:w="357"/>
        <w:gridCol w:w="160"/>
        <w:gridCol w:w="550"/>
        <w:gridCol w:w="425"/>
        <w:gridCol w:w="365"/>
        <w:gridCol w:w="429"/>
        <w:gridCol w:w="121"/>
        <w:gridCol w:w="119"/>
        <w:gridCol w:w="156"/>
        <w:gridCol w:w="595"/>
        <w:gridCol w:w="95"/>
        <w:gridCol w:w="1660"/>
        <w:gridCol w:w="6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340" w:hRule="atLeast"/>
        </w:trPr>
        <w:tc>
          <w:tcPr>
            <w:tcW w:w="14172"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286" w:hRule="atLeast"/>
        </w:trPr>
        <w:tc>
          <w:tcPr>
            <w:tcW w:w="27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项目名称</w:t>
            </w:r>
          </w:p>
        </w:tc>
        <w:tc>
          <w:tcPr>
            <w:tcW w:w="11453"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51190223T000008770647</w:t>
            </w:r>
            <w:r>
              <w:rPr>
                <w:rFonts w:hint="eastAsia" w:ascii="宋体" w:hAnsi="宋体" w:cs="宋体"/>
                <w:i w:val="0"/>
                <w:iCs w:val="0"/>
                <w:color w:val="000000"/>
                <w:kern w:val="0"/>
                <w:sz w:val="15"/>
                <w:szCs w:val="15"/>
                <w:u w:val="none"/>
                <w:lang w:val="en-US" w:eastAsia="zh-CN" w:bidi="ar"/>
              </w:rPr>
              <w:t>-</w:t>
            </w:r>
            <w:r>
              <w:rPr>
                <w:rFonts w:ascii="宋体" w:hAnsi="宋体" w:eastAsia="宋体" w:cs="宋体"/>
                <w:i w:val="0"/>
                <w:iCs w:val="0"/>
                <w:color w:val="000000"/>
                <w:kern w:val="0"/>
                <w:sz w:val="15"/>
                <w:szCs w:val="15"/>
                <w:u w:val="none"/>
                <w:lang w:val="en-US" w:eastAsia="zh-CN" w:bidi="ar"/>
              </w:rPr>
              <w:t>车辆保障服务中心运行费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90" w:hRule="atLeast"/>
        </w:trPr>
        <w:tc>
          <w:tcPr>
            <w:tcW w:w="27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主管部门</w:t>
            </w:r>
          </w:p>
        </w:tc>
        <w:tc>
          <w:tcPr>
            <w:tcW w:w="50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区机关事务服务中心本级</w:t>
            </w:r>
          </w:p>
        </w:tc>
        <w:tc>
          <w:tcPr>
            <w:tcW w:w="3623" w:type="dxa"/>
            <w:gridSpan w:val="9"/>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实施单位 （盖章）</w:t>
            </w:r>
          </w:p>
        </w:tc>
        <w:tc>
          <w:tcPr>
            <w:tcW w:w="27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巴中市巴州区机关事务服务中心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286" w:hRule="atLeast"/>
        </w:trPr>
        <w:tc>
          <w:tcPr>
            <w:tcW w:w="100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项目基本情况</w:t>
            </w:r>
          </w:p>
        </w:tc>
        <w:tc>
          <w:tcPr>
            <w:tcW w:w="17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1.项目年度目标完成情况</w:t>
            </w:r>
          </w:p>
        </w:tc>
        <w:tc>
          <w:tcPr>
            <w:tcW w:w="50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项目年度目标</w:t>
            </w:r>
          </w:p>
        </w:tc>
        <w:tc>
          <w:tcPr>
            <w:tcW w:w="6369"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520" w:hRule="atLeast"/>
        </w:trPr>
        <w:tc>
          <w:tcPr>
            <w:tcW w:w="10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17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16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　车辆保障服务中心日常正常运行需要，如办公、调度平台服务费等</w:t>
            </w:r>
          </w:p>
        </w:tc>
        <w:tc>
          <w:tcPr>
            <w:tcW w:w="976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一是完成全区公务用车统计。今年来，共统计110个单位公务用车信息。二是采用“日安检、周约谈、月例会、季检测”的方式，对车辆安全做到日检季查，并对驾驶员进行全方位安全教育。三是利用车载定位设备，加大对公务用车的监督检查力度，严格落实节假日停驶等制度，严禁公车私用。四是今年来，一般公务出行、督查巡察、招商引资、大型活动、应急调度等共派车9000余次，累计行驶里程100余万公里。五是持续推进清江新能源汽车分时租赁试点工作，破解基层公务出行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536" w:hRule="atLeast"/>
        </w:trPr>
        <w:tc>
          <w:tcPr>
            <w:tcW w:w="10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2.项目实施内容及过程概述</w:t>
            </w:r>
          </w:p>
        </w:tc>
        <w:tc>
          <w:tcPr>
            <w:tcW w:w="11453"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中心现有车辆68辆。其中：一般性公务用车65辆，调研用车3辆。确保区委区政府工作调研、重（大）型活动开展、一般公务出行、</w:t>
            </w:r>
            <w:r>
              <w:rPr>
                <w:rFonts w:hint="eastAsia" w:ascii="宋体" w:hAnsi="宋体" w:eastAsia="宋体" w:cs="宋体"/>
                <w:i w:val="0"/>
                <w:iCs w:val="0"/>
                <w:color w:val="000000"/>
                <w:kern w:val="0"/>
                <w:sz w:val="15"/>
                <w:szCs w:val="15"/>
                <w:u w:val="none"/>
                <w:lang w:val="en-US" w:eastAsia="zh-CN" w:bidi="ar"/>
              </w:rPr>
              <w:t>督查巡察、招商引资、应急调度</w:t>
            </w:r>
            <w:r>
              <w:rPr>
                <w:rFonts w:ascii="宋体" w:hAnsi="宋体" w:eastAsia="宋体" w:cs="宋体"/>
                <w:i w:val="0"/>
                <w:iCs w:val="0"/>
                <w:color w:val="000000"/>
                <w:kern w:val="0"/>
                <w:sz w:val="15"/>
                <w:szCs w:val="15"/>
                <w:u w:val="none"/>
                <w:lang w:val="en-US" w:eastAsia="zh-CN" w:bidi="ar"/>
              </w:rPr>
              <w:t>等工作顺利进行。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283" w:hRule="exact"/>
        </w:trPr>
        <w:tc>
          <w:tcPr>
            <w:tcW w:w="100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预算执行情况（10分）</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年度预算数（万元）</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年初预算</w:t>
            </w:r>
          </w:p>
        </w:tc>
        <w:tc>
          <w:tcPr>
            <w:tcW w:w="1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调整后预算数</w:t>
            </w:r>
          </w:p>
        </w:tc>
        <w:tc>
          <w:tcPr>
            <w:tcW w:w="22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预算执行数</w:t>
            </w:r>
          </w:p>
        </w:tc>
        <w:tc>
          <w:tcPr>
            <w:tcW w:w="28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预算执行率</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283" w:hRule="exact"/>
        </w:trPr>
        <w:tc>
          <w:tcPr>
            <w:tcW w:w="10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总额</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50.00</w:t>
            </w:r>
          </w:p>
        </w:tc>
        <w:tc>
          <w:tcPr>
            <w:tcW w:w="1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50.00</w:t>
            </w:r>
          </w:p>
        </w:tc>
        <w:tc>
          <w:tcPr>
            <w:tcW w:w="22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50.00</w:t>
            </w:r>
          </w:p>
        </w:tc>
        <w:tc>
          <w:tcPr>
            <w:tcW w:w="28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175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283" w:hRule="exact"/>
        </w:trPr>
        <w:tc>
          <w:tcPr>
            <w:tcW w:w="10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其中：财政资金</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50.00</w:t>
            </w:r>
          </w:p>
        </w:tc>
        <w:tc>
          <w:tcPr>
            <w:tcW w:w="1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50.00</w:t>
            </w:r>
          </w:p>
        </w:tc>
        <w:tc>
          <w:tcPr>
            <w:tcW w:w="22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50.00</w:t>
            </w:r>
          </w:p>
        </w:tc>
        <w:tc>
          <w:tcPr>
            <w:tcW w:w="28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7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283" w:hRule="exact"/>
        </w:trPr>
        <w:tc>
          <w:tcPr>
            <w:tcW w:w="10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财政专户管理资金</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22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28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7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283" w:hRule="exact"/>
        </w:trPr>
        <w:tc>
          <w:tcPr>
            <w:tcW w:w="10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单位资金</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22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28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7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283" w:hRule="exact"/>
        </w:trPr>
        <w:tc>
          <w:tcPr>
            <w:tcW w:w="10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其他资金</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5"/>
                <w:szCs w:val="15"/>
                <w:u w:val="none"/>
              </w:rPr>
            </w:pPr>
          </w:p>
        </w:tc>
        <w:tc>
          <w:tcPr>
            <w:tcW w:w="1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5"/>
                <w:szCs w:val="15"/>
                <w:u w:val="none"/>
              </w:rPr>
            </w:pPr>
          </w:p>
        </w:tc>
        <w:tc>
          <w:tcPr>
            <w:tcW w:w="22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5"/>
                <w:szCs w:val="15"/>
                <w:u w:val="none"/>
              </w:rPr>
            </w:pPr>
          </w:p>
        </w:tc>
        <w:tc>
          <w:tcPr>
            <w:tcW w:w="28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5"/>
                <w:szCs w:val="15"/>
                <w:u w:val="none"/>
              </w:rPr>
            </w:pP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7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283" w:hRule="exact"/>
        </w:trPr>
        <w:tc>
          <w:tcPr>
            <w:tcW w:w="100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绩效指标（90分）</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一级指标</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二级指标</w:t>
            </w:r>
          </w:p>
        </w:tc>
        <w:tc>
          <w:tcPr>
            <w:tcW w:w="24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三级指标</w:t>
            </w:r>
          </w:p>
        </w:tc>
        <w:tc>
          <w:tcPr>
            <w:tcW w:w="1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指标性质</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指标值</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度量单位</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完成值</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283" w:hRule="exact"/>
        </w:trPr>
        <w:tc>
          <w:tcPr>
            <w:tcW w:w="10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17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产出指标</w:t>
            </w:r>
          </w:p>
        </w:tc>
        <w:tc>
          <w:tcPr>
            <w:tcW w:w="156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成本指标</w:t>
            </w:r>
          </w:p>
        </w:tc>
        <w:tc>
          <w:tcPr>
            <w:tcW w:w="24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完成（工）时间</w:t>
            </w:r>
          </w:p>
        </w:tc>
        <w:tc>
          <w:tcPr>
            <w:tcW w:w="1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sz w:val="15"/>
                <w:szCs w:val="15"/>
                <w:u w:val="none"/>
                <w:lang w:val="en-US"/>
              </w:rPr>
            </w:pPr>
            <w:r>
              <w:rPr>
                <w:rFonts w:ascii="宋体" w:hAnsi="宋体" w:eastAsia="宋体" w:cs="宋体"/>
                <w:i w:val="0"/>
                <w:iCs w:val="0"/>
                <w:color w:val="000000"/>
                <w:kern w:val="0"/>
                <w:sz w:val="15"/>
                <w:szCs w:val="15"/>
                <w:u w:val="none"/>
                <w:lang w:val="en-US" w:eastAsia="zh-CN" w:bidi="ar"/>
              </w:rPr>
              <w:t>202</w:t>
            </w:r>
            <w:r>
              <w:rPr>
                <w:rFonts w:hint="eastAsia" w:ascii="宋体" w:hAnsi="宋体" w:eastAsia="宋体" w:cs="宋体"/>
                <w:i w:val="0"/>
                <w:iCs w:val="0"/>
                <w:color w:val="000000"/>
                <w:kern w:val="0"/>
                <w:sz w:val="15"/>
                <w:szCs w:val="15"/>
                <w:u w:val="none"/>
                <w:lang w:val="en-US" w:eastAsia="zh-CN" w:bidi="ar"/>
              </w:rPr>
              <w:t>3</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微软雅黑" w:hAnsi="微软雅黑" w:eastAsia="微软雅黑" w:cs="微软雅黑"/>
                <w:i/>
                <w:iCs/>
                <w:color w:val="000000"/>
                <w:sz w:val="15"/>
                <w:szCs w:val="15"/>
                <w:u w:val="none"/>
              </w:rPr>
            </w:pPr>
            <w:r>
              <w:rPr>
                <w:rFonts w:hint="eastAsia" w:ascii="微软雅黑" w:hAnsi="微软雅黑" w:eastAsia="微软雅黑" w:cs="微软雅黑"/>
                <w:i/>
                <w:iCs/>
                <w:color w:val="000000"/>
                <w:kern w:val="0"/>
                <w:sz w:val="15"/>
                <w:szCs w:val="15"/>
                <w:u w:val="none"/>
                <w:lang w:val="en-US" w:eastAsia="zh-CN" w:bidi="ar"/>
              </w:rPr>
              <w:t>2023年</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283" w:hRule="exact"/>
        </w:trPr>
        <w:tc>
          <w:tcPr>
            <w:tcW w:w="10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17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15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24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达到目标数的单位成本</w:t>
            </w:r>
          </w:p>
        </w:tc>
        <w:tc>
          <w:tcPr>
            <w:tcW w:w="1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50</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万元</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微软雅黑" w:hAnsi="微软雅黑" w:eastAsia="微软雅黑" w:cs="微软雅黑"/>
                <w:i/>
                <w:iCs/>
                <w:color w:val="000000"/>
                <w:sz w:val="15"/>
                <w:szCs w:val="15"/>
                <w:u w:val="none"/>
              </w:rPr>
            </w:pPr>
            <w:r>
              <w:rPr>
                <w:rFonts w:hint="eastAsia" w:ascii="微软雅黑" w:hAnsi="微软雅黑" w:eastAsia="微软雅黑" w:cs="微软雅黑"/>
                <w:i/>
                <w:iCs/>
                <w:color w:val="000000"/>
                <w:kern w:val="0"/>
                <w:sz w:val="15"/>
                <w:szCs w:val="15"/>
                <w:u w:val="none"/>
                <w:lang w:val="en-US" w:eastAsia="zh-CN" w:bidi="ar"/>
              </w:rPr>
              <w:t>50万元</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15</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440" w:hRule="exact"/>
        </w:trPr>
        <w:tc>
          <w:tcPr>
            <w:tcW w:w="10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效益指标</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社会效益指标</w:t>
            </w:r>
          </w:p>
        </w:tc>
        <w:tc>
          <w:tcPr>
            <w:tcW w:w="24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保障全区重大活动、重点工作、正常公务出行公务用车</w:t>
            </w:r>
          </w:p>
        </w:tc>
        <w:tc>
          <w:tcPr>
            <w:tcW w:w="1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微软雅黑" w:hAnsi="微软雅黑" w:eastAsia="微软雅黑" w:cs="微软雅黑"/>
                <w:i/>
                <w:iCs/>
                <w:color w:val="000000"/>
                <w:sz w:val="15"/>
                <w:szCs w:val="15"/>
                <w:u w:val="none"/>
              </w:rPr>
            </w:pPr>
            <w:r>
              <w:rPr>
                <w:rFonts w:hint="eastAsia" w:ascii="微软雅黑" w:hAnsi="微软雅黑" w:eastAsia="微软雅黑" w:cs="微软雅黑"/>
                <w:i/>
                <w:iCs/>
                <w:color w:val="000000"/>
                <w:kern w:val="0"/>
                <w:sz w:val="15"/>
                <w:szCs w:val="15"/>
                <w:u w:val="none"/>
                <w:lang w:val="en-US" w:eastAsia="zh-CN" w:bidi="ar"/>
              </w:rPr>
              <w:t>100%</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25</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40</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473" w:hRule="exact"/>
        </w:trPr>
        <w:tc>
          <w:tcPr>
            <w:tcW w:w="10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满意度指标</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服务对象满意度指标</w:t>
            </w:r>
          </w:p>
        </w:tc>
        <w:tc>
          <w:tcPr>
            <w:tcW w:w="24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提供优质、高效、安全的公务出行保障服务</w:t>
            </w:r>
          </w:p>
        </w:tc>
        <w:tc>
          <w:tcPr>
            <w:tcW w:w="1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95</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微软雅黑" w:hAnsi="微软雅黑" w:eastAsia="微软雅黑" w:cs="微软雅黑"/>
                <w:i/>
                <w:iCs/>
                <w:color w:val="000000"/>
                <w:sz w:val="15"/>
                <w:szCs w:val="15"/>
                <w:u w:val="none"/>
              </w:rPr>
            </w:pPr>
            <w:r>
              <w:rPr>
                <w:rFonts w:hint="eastAsia" w:ascii="微软雅黑" w:hAnsi="微软雅黑" w:eastAsia="微软雅黑" w:cs="微软雅黑"/>
                <w:i/>
                <w:iCs/>
                <w:color w:val="000000"/>
                <w:kern w:val="0"/>
                <w:sz w:val="15"/>
                <w:szCs w:val="15"/>
                <w:u w:val="none"/>
                <w:lang w:val="en-US" w:eastAsia="zh-CN" w:bidi="ar"/>
              </w:rPr>
              <w:t>98%</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25</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283" w:hRule="exact"/>
        </w:trPr>
        <w:tc>
          <w:tcPr>
            <w:tcW w:w="11426"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合计</w:t>
            </w:r>
          </w:p>
        </w:tc>
        <w:tc>
          <w:tcPr>
            <w:tcW w:w="2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5"/>
                <w:szCs w:val="15"/>
                <w:u w:val="none"/>
              </w:rPr>
            </w:pPr>
          </w:p>
        </w:tc>
        <w:tc>
          <w:tcPr>
            <w:tcW w:w="7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760" w:hRule="atLeast"/>
        </w:trPr>
        <w:tc>
          <w:tcPr>
            <w:tcW w:w="10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评价结论</w:t>
            </w:r>
          </w:p>
        </w:tc>
        <w:tc>
          <w:tcPr>
            <w:tcW w:w="13169"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车辆保障服务中心运行费全年预算数50万元，执行数为50万元，完成预算的100%。</w:t>
            </w:r>
            <w:r>
              <w:rPr>
                <w:rFonts w:hint="eastAsia" w:ascii="黑体" w:hAnsi="黑体" w:eastAsia="黑体" w:cs="黑体"/>
                <w:i w:val="0"/>
                <w:iCs w:val="0"/>
                <w:color w:val="000000"/>
                <w:kern w:val="0"/>
                <w:sz w:val="15"/>
                <w:szCs w:val="15"/>
                <w:u w:val="none"/>
                <w:lang w:val="en-US" w:eastAsia="zh-CN" w:bidi="ar"/>
              </w:rPr>
              <w:t>一是完成全区公务用车统计。今年来，共统计110个单位公务用车信息。二是采用“日安检、周约谈、月例会、季检测”的方式，对车辆安全做到日检季查，并对驾驶员进行全方位安全教育。三是利用车载定位设备，加大对公务用车的监督检查力度，严格落实节假日停驶等制度，严禁公车私用。四是今年来，一般公务出行、督查巡察、招商引资、大型活动、应急调度等共派车9000余次，累计行驶里程100余万公里。五是持续推进清江新能源汽车分时租赁试点工作，破解基层公务出行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480" w:hRule="atLeast"/>
        </w:trPr>
        <w:tc>
          <w:tcPr>
            <w:tcW w:w="10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存在问题</w:t>
            </w:r>
          </w:p>
        </w:tc>
        <w:tc>
          <w:tcPr>
            <w:tcW w:w="13169"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1.车辆运行费预算缺口大。因我区绝大部分公务用车车龄长、车况差、油耗高、维修成本高，2016年核算的5万元/车/年的车辆运行费已严重不足。2.车辆急需更新。保留车辆中，大部分车龄长、行驶里程多、车况差，存在较大安全隐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300" w:hRule="atLeast"/>
        </w:trPr>
        <w:tc>
          <w:tcPr>
            <w:tcW w:w="10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改进措施</w:t>
            </w:r>
          </w:p>
        </w:tc>
        <w:tc>
          <w:tcPr>
            <w:tcW w:w="13169"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逐年更新公务用车。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300" w:hRule="atLeast"/>
        </w:trPr>
        <w:tc>
          <w:tcPr>
            <w:tcW w:w="10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kern w:val="0"/>
                <w:sz w:val="15"/>
                <w:szCs w:val="15"/>
                <w:u w:val="none"/>
                <w:lang w:val="en-US" w:eastAsia="zh-CN" w:bidi="ar"/>
              </w:rPr>
            </w:pPr>
          </w:p>
        </w:tc>
        <w:tc>
          <w:tcPr>
            <w:tcW w:w="13169"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val="0"/>
                <w:iCs w:val="0"/>
                <w:color w:val="000000"/>
                <w:kern w:val="0"/>
                <w:sz w:val="15"/>
                <w:szCs w:val="15"/>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60" w:type="dxa"/>
          <w:wAfter w:w="614" w:type="dxa"/>
          <w:trHeight w:val="286" w:hRule="atLeast"/>
        </w:trPr>
        <w:tc>
          <w:tcPr>
            <w:tcW w:w="780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项目负责人：杨雄伟</w:t>
            </w:r>
          </w:p>
        </w:tc>
        <w:tc>
          <w:tcPr>
            <w:tcW w:w="6369"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财务负责人：黄小丽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5246"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center" w:pos="5634"/>
                <w:tab w:val="right" w:pos="11151"/>
              </w:tabs>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27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项目名称</w:t>
            </w:r>
          </w:p>
        </w:tc>
        <w:tc>
          <w:tcPr>
            <w:tcW w:w="12448"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51190223T000008770459</w:t>
            </w:r>
            <w:r>
              <w:rPr>
                <w:rFonts w:hint="eastAsia" w:ascii="宋体" w:hAnsi="宋体" w:cs="宋体"/>
                <w:i w:val="0"/>
                <w:iCs w:val="0"/>
                <w:color w:val="000000"/>
                <w:kern w:val="0"/>
                <w:sz w:val="15"/>
                <w:szCs w:val="15"/>
                <w:u w:val="none"/>
                <w:lang w:val="en-US" w:eastAsia="zh-CN" w:bidi="ar"/>
              </w:rPr>
              <w:t>-</w:t>
            </w:r>
            <w:r>
              <w:rPr>
                <w:rFonts w:ascii="宋体" w:hAnsi="宋体" w:eastAsia="宋体" w:cs="宋体"/>
                <w:i w:val="0"/>
                <w:iCs w:val="0"/>
                <w:color w:val="000000"/>
                <w:kern w:val="0"/>
                <w:sz w:val="15"/>
                <w:szCs w:val="15"/>
                <w:u w:val="none"/>
                <w:lang w:val="en-US" w:eastAsia="zh-CN" w:bidi="ar"/>
              </w:rPr>
              <w:t>公共机构节能减排宣传经费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 w:hRule="atLeast"/>
        </w:trPr>
        <w:tc>
          <w:tcPr>
            <w:tcW w:w="27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主管部门</w:t>
            </w:r>
          </w:p>
        </w:tc>
        <w:tc>
          <w:tcPr>
            <w:tcW w:w="30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区机关事务服务中心本级</w:t>
            </w:r>
          </w:p>
        </w:tc>
        <w:tc>
          <w:tcPr>
            <w:tcW w:w="5565"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实施单位 （盖章）</w:t>
            </w:r>
          </w:p>
        </w:tc>
        <w:tc>
          <w:tcPr>
            <w:tcW w:w="378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巴中市巴州区机关事务服务中心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10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项目基本情况</w:t>
            </w:r>
          </w:p>
        </w:tc>
        <w:tc>
          <w:tcPr>
            <w:tcW w:w="179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1.项目年度目标完成情况</w:t>
            </w:r>
          </w:p>
        </w:tc>
        <w:tc>
          <w:tcPr>
            <w:tcW w:w="30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项目年度目标</w:t>
            </w:r>
          </w:p>
        </w:tc>
        <w:tc>
          <w:tcPr>
            <w:tcW w:w="935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7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5"/>
                <w:szCs w:val="15"/>
                <w:u w:val="none"/>
              </w:rPr>
            </w:pPr>
          </w:p>
        </w:tc>
        <w:tc>
          <w:tcPr>
            <w:tcW w:w="30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宋体" w:hAnsi="宋体" w:eastAsia="宋体" w:cs="宋体"/>
                <w:i w:val="0"/>
                <w:iCs w:val="0"/>
                <w:color w:val="000000"/>
                <w:sz w:val="15"/>
                <w:szCs w:val="15"/>
                <w:u w:val="none"/>
                <w:lang w:val="en-US"/>
              </w:rPr>
            </w:pPr>
            <w:r>
              <w:rPr>
                <w:rFonts w:ascii="宋体" w:hAnsi="宋体" w:eastAsia="宋体" w:cs="宋体"/>
                <w:i w:val="0"/>
                <w:iCs w:val="0"/>
                <w:color w:val="000000"/>
                <w:kern w:val="0"/>
                <w:sz w:val="15"/>
                <w:szCs w:val="15"/>
                <w:u w:val="none"/>
                <w:lang w:val="en-US" w:eastAsia="zh-CN" w:bidi="ar"/>
              </w:rPr>
              <w:t>1</w:t>
            </w:r>
            <w:r>
              <w:rPr>
                <w:rFonts w:hint="eastAsia" w:ascii="宋体" w:hAnsi="宋体" w:cs="宋体"/>
                <w:i w:val="0"/>
                <w:iCs w:val="0"/>
                <w:color w:val="000000"/>
                <w:kern w:val="0"/>
                <w:sz w:val="15"/>
                <w:szCs w:val="15"/>
                <w:u w:val="none"/>
                <w:lang w:val="en-US" w:eastAsia="zh-CN" w:bidi="ar"/>
              </w:rPr>
              <w:t>.强化宣传教育；</w:t>
            </w:r>
            <w:r>
              <w:rPr>
                <w:rFonts w:ascii="宋体" w:hAnsi="宋体" w:eastAsia="宋体" w:cs="宋体"/>
                <w:i w:val="0"/>
                <w:iCs w:val="0"/>
                <w:color w:val="000000"/>
                <w:kern w:val="0"/>
                <w:sz w:val="15"/>
                <w:szCs w:val="15"/>
                <w:u w:val="none"/>
                <w:lang w:val="en-US" w:eastAsia="zh-CN" w:bidi="ar"/>
              </w:rPr>
              <w:t>2</w:t>
            </w:r>
            <w:r>
              <w:rPr>
                <w:rFonts w:hint="eastAsia" w:ascii="宋体" w:hAnsi="宋体" w:cs="宋体"/>
                <w:i w:val="0"/>
                <w:iCs w:val="0"/>
                <w:color w:val="000000"/>
                <w:kern w:val="0"/>
                <w:sz w:val="15"/>
                <w:szCs w:val="15"/>
                <w:u w:val="none"/>
                <w:lang w:val="en-US" w:eastAsia="zh-CN" w:bidi="ar"/>
              </w:rPr>
              <w:t>.夯实基础管理</w:t>
            </w:r>
            <w:r>
              <w:rPr>
                <w:rFonts w:ascii="宋体" w:hAnsi="宋体" w:eastAsia="宋体" w:cs="宋体"/>
                <w:i w:val="0"/>
                <w:iCs w:val="0"/>
                <w:color w:val="000000"/>
                <w:kern w:val="0"/>
                <w:sz w:val="15"/>
                <w:szCs w:val="15"/>
                <w:u w:val="none"/>
                <w:lang w:val="en-US" w:eastAsia="zh-CN" w:bidi="ar"/>
              </w:rPr>
              <w:t>；3</w:t>
            </w:r>
            <w:r>
              <w:rPr>
                <w:rFonts w:hint="eastAsia" w:ascii="宋体" w:hAnsi="宋体" w:cs="宋体"/>
                <w:i w:val="0"/>
                <w:iCs w:val="0"/>
                <w:color w:val="000000"/>
                <w:kern w:val="0"/>
                <w:sz w:val="15"/>
                <w:szCs w:val="15"/>
                <w:u w:val="none"/>
                <w:lang w:val="en-US" w:eastAsia="zh-CN" w:bidi="ar"/>
              </w:rPr>
              <w:t>.抓好创建工作；4.推进垃圾分类；5.坚持厉行节约；6.有效完成目标。</w:t>
            </w:r>
          </w:p>
        </w:tc>
        <w:tc>
          <w:tcPr>
            <w:tcW w:w="935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sz w:val="15"/>
                <w:szCs w:val="15"/>
                <w:u w:val="none"/>
                <w:lang w:val="en-US" w:eastAsia="zh-CN"/>
              </w:rPr>
              <w:t>一是依托线上线下相结合等多种形式，在全区范围内开展了</w:t>
            </w:r>
            <w:r>
              <w:rPr>
                <w:rFonts w:hint="eastAsia" w:ascii="黑体" w:hAnsi="黑体" w:eastAsia="黑体" w:cs="黑体"/>
                <w:i w:val="0"/>
                <w:iCs w:val="0"/>
                <w:color w:val="000000"/>
                <w:sz w:val="15"/>
                <w:szCs w:val="15"/>
                <w:u w:val="none"/>
              </w:rPr>
              <w:t>世界节水日</w:t>
            </w:r>
            <w:r>
              <w:rPr>
                <w:rFonts w:hint="eastAsia" w:ascii="黑体" w:hAnsi="黑体" w:eastAsia="黑体" w:cs="黑体"/>
                <w:i w:val="0"/>
                <w:iCs w:val="0"/>
                <w:color w:val="000000"/>
                <w:sz w:val="15"/>
                <w:szCs w:val="15"/>
                <w:u w:val="none"/>
                <w:lang w:eastAsia="zh-CN"/>
              </w:rPr>
              <w:t>、世界环境日、</w:t>
            </w:r>
            <w:r>
              <w:rPr>
                <w:rFonts w:hint="eastAsia" w:ascii="黑体" w:hAnsi="黑体" w:eastAsia="黑体" w:cs="黑体"/>
                <w:i w:val="0"/>
                <w:iCs w:val="0"/>
                <w:color w:val="000000"/>
                <w:sz w:val="15"/>
                <w:szCs w:val="15"/>
                <w:u w:val="none"/>
                <w:lang w:val="en-US" w:eastAsia="zh-CN"/>
              </w:rPr>
              <w:t>垃圾分类等节能宣传周系列主题活动。二是做好</w:t>
            </w:r>
            <w:r>
              <w:rPr>
                <w:rFonts w:hint="eastAsia" w:ascii="黑体" w:hAnsi="黑体" w:eastAsia="黑体" w:cs="黑体"/>
                <w:i w:val="0"/>
                <w:iCs w:val="0"/>
                <w:color w:val="000000"/>
                <w:sz w:val="15"/>
                <w:szCs w:val="15"/>
                <w:u w:val="none"/>
              </w:rPr>
              <w:t>全区公共机构</w:t>
            </w:r>
            <w:r>
              <w:rPr>
                <w:rFonts w:hint="eastAsia" w:ascii="黑体" w:hAnsi="黑体" w:eastAsia="黑体" w:cs="黑体"/>
                <w:i w:val="0"/>
                <w:iCs w:val="0"/>
                <w:color w:val="000000"/>
                <w:sz w:val="15"/>
                <w:szCs w:val="15"/>
                <w:u w:val="none"/>
                <w:lang w:val="en-US" w:eastAsia="zh-CN"/>
              </w:rPr>
              <w:t>年度</w:t>
            </w:r>
            <w:r>
              <w:rPr>
                <w:rFonts w:hint="eastAsia" w:ascii="黑体" w:hAnsi="黑体" w:eastAsia="黑体" w:cs="黑体"/>
                <w:i w:val="0"/>
                <w:iCs w:val="0"/>
                <w:color w:val="000000"/>
                <w:sz w:val="15"/>
                <w:szCs w:val="15"/>
                <w:u w:val="none"/>
              </w:rPr>
              <w:t>能耗数据</w:t>
            </w:r>
            <w:r>
              <w:rPr>
                <w:rFonts w:hint="eastAsia" w:ascii="黑体" w:hAnsi="黑体" w:eastAsia="黑体" w:cs="黑体"/>
                <w:i w:val="0"/>
                <w:iCs w:val="0"/>
                <w:color w:val="000000"/>
                <w:sz w:val="15"/>
                <w:szCs w:val="15"/>
                <w:u w:val="none"/>
                <w:lang w:eastAsia="zh-CN"/>
              </w:rPr>
              <w:t>、票据</w:t>
            </w:r>
            <w:r>
              <w:rPr>
                <w:rFonts w:hint="eastAsia" w:ascii="黑体" w:hAnsi="黑体" w:eastAsia="黑体" w:cs="黑体"/>
                <w:i w:val="0"/>
                <w:iCs w:val="0"/>
                <w:color w:val="000000"/>
                <w:sz w:val="15"/>
                <w:szCs w:val="15"/>
                <w:u w:val="none"/>
              </w:rPr>
              <w:t>网络直报</w:t>
            </w:r>
            <w:r>
              <w:rPr>
                <w:rFonts w:hint="eastAsia" w:ascii="黑体" w:hAnsi="黑体" w:eastAsia="黑体" w:cs="黑体"/>
                <w:i w:val="0"/>
                <w:iCs w:val="0"/>
                <w:color w:val="000000"/>
                <w:sz w:val="15"/>
                <w:szCs w:val="15"/>
                <w:u w:val="none"/>
                <w:lang w:val="en-US" w:eastAsia="zh-CN"/>
              </w:rPr>
              <w:t>的报审工作。三是</w:t>
            </w:r>
            <w:r>
              <w:rPr>
                <w:rFonts w:hint="eastAsia" w:ascii="黑体" w:hAnsi="黑体" w:eastAsia="黑体" w:cs="黑体"/>
                <w:i w:val="0"/>
                <w:iCs w:val="0"/>
                <w:color w:val="000000"/>
                <w:sz w:val="15"/>
                <w:szCs w:val="15"/>
                <w:u w:val="none"/>
                <w:lang w:eastAsia="zh-CN"/>
              </w:rPr>
              <w:t>积极推动</w:t>
            </w:r>
            <w:r>
              <w:rPr>
                <w:rFonts w:hint="eastAsia" w:ascii="黑体" w:hAnsi="黑体" w:eastAsia="黑体" w:cs="黑体"/>
                <w:i w:val="0"/>
                <w:iCs w:val="0"/>
                <w:color w:val="000000"/>
                <w:sz w:val="15"/>
                <w:szCs w:val="15"/>
                <w:u w:val="none"/>
                <w:lang w:val="en-US" w:eastAsia="zh-CN"/>
              </w:rPr>
              <w:t>区法院、区人民医院等3家公共机构创建</w:t>
            </w:r>
            <w:r>
              <w:rPr>
                <w:rFonts w:hint="eastAsia" w:ascii="黑体" w:hAnsi="黑体" w:eastAsia="黑体" w:cs="黑体"/>
                <w:i w:val="0"/>
                <w:iCs w:val="0"/>
                <w:color w:val="000000"/>
                <w:sz w:val="15"/>
                <w:szCs w:val="15"/>
                <w:u w:val="none"/>
                <w:lang w:eastAsia="zh-CN"/>
              </w:rPr>
              <w:t>省公共机构生活垃圾分类示范单位。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8" w:hRule="atLeas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2.项目实施内容及过程概述</w:t>
            </w:r>
          </w:p>
        </w:tc>
        <w:tc>
          <w:tcPr>
            <w:tcW w:w="12448"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ascii="宋体" w:hAnsi="宋体" w:eastAsia="宋体" w:cs="宋体"/>
                <w:i w:val="0"/>
                <w:iCs w:val="0"/>
                <w:color w:val="000000"/>
                <w:sz w:val="15"/>
                <w:szCs w:val="15"/>
                <w:u w:val="none"/>
              </w:rPr>
            </w:pPr>
            <w:r>
              <w:rPr>
                <w:rFonts w:hint="eastAsia" w:ascii="黑体" w:hAnsi="黑体" w:eastAsia="黑体" w:cs="黑体"/>
                <w:i w:val="0"/>
                <w:iCs w:val="0"/>
                <w:color w:val="000000"/>
                <w:sz w:val="15"/>
                <w:szCs w:val="15"/>
                <w:u w:val="none"/>
                <w:lang w:val="en-US" w:eastAsia="zh-CN"/>
              </w:rPr>
              <w:t>依托线上线下相结合等多种形式，在全区范围内开展了</w:t>
            </w:r>
            <w:r>
              <w:rPr>
                <w:rFonts w:hint="eastAsia" w:ascii="黑体" w:hAnsi="黑体" w:eastAsia="黑体" w:cs="黑体"/>
                <w:i w:val="0"/>
                <w:iCs w:val="0"/>
                <w:color w:val="000000"/>
                <w:sz w:val="15"/>
                <w:szCs w:val="15"/>
                <w:u w:val="none"/>
              </w:rPr>
              <w:t>世界节水日</w:t>
            </w:r>
            <w:r>
              <w:rPr>
                <w:rFonts w:hint="eastAsia" w:ascii="黑体" w:hAnsi="黑体" w:eastAsia="黑体" w:cs="黑体"/>
                <w:i w:val="0"/>
                <w:iCs w:val="0"/>
                <w:color w:val="000000"/>
                <w:sz w:val="15"/>
                <w:szCs w:val="15"/>
                <w:u w:val="none"/>
                <w:lang w:eastAsia="zh-CN"/>
              </w:rPr>
              <w:t>、世界环境日、</w:t>
            </w:r>
            <w:r>
              <w:rPr>
                <w:rFonts w:hint="eastAsia" w:ascii="黑体" w:hAnsi="黑体" w:eastAsia="黑体" w:cs="黑体"/>
                <w:i w:val="0"/>
                <w:iCs w:val="0"/>
                <w:color w:val="000000"/>
                <w:sz w:val="15"/>
                <w:szCs w:val="15"/>
                <w:u w:val="none"/>
                <w:lang w:val="en-US" w:eastAsia="zh-CN"/>
              </w:rPr>
              <w:t>垃圾分类等节能宣传周系列主题活动。做好</w:t>
            </w:r>
            <w:r>
              <w:rPr>
                <w:rFonts w:hint="eastAsia" w:ascii="黑体" w:hAnsi="黑体" w:eastAsia="黑体" w:cs="黑体"/>
                <w:i w:val="0"/>
                <w:iCs w:val="0"/>
                <w:color w:val="000000"/>
                <w:sz w:val="15"/>
                <w:szCs w:val="15"/>
                <w:u w:val="none"/>
              </w:rPr>
              <w:t>全区公共机构</w:t>
            </w:r>
            <w:r>
              <w:rPr>
                <w:rFonts w:hint="eastAsia" w:ascii="黑体" w:hAnsi="黑体" w:eastAsia="黑体" w:cs="黑体"/>
                <w:i w:val="0"/>
                <w:iCs w:val="0"/>
                <w:color w:val="000000"/>
                <w:sz w:val="15"/>
                <w:szCs w:val="15"/>
                <w:u w:val="none"/>
                <w:lang w:val="en-US" w:eastAsia="zh-CN"/>
              </w:rPr>
              <w:t>年度</w:t>
            </w:r>
            <w:r>
              <w:rPr>
                <w:rFonts w:hint="eastAsia" w:ascii="黑体" w:hAnsi="黑体" w:eastAsia="黑体" w:cs="黑体"/>
                <w:i w:val="0"/>
                <w:iCs w:val="0"/>
                <w:color w:val="000000"/>
                <w:sz w:val="15"/>
                <w:szCs w:val="15"/>
                <w:u w:val="none"/>
              </w:rPr>
              <w:t>能耗数据</w:t>
            </w:r>
            <w:r>
              <w:rPr>
                <w:rFonts w:hint="eastAsia" w:ascii="黑体" w:hAnsi="黑体" w:eastAsia="黑体" w:cs="黑体"/>
                <w:i w:val="0"/>
                <w:iCs w:val="0"/>
                <w:color w:val="000000"/>
                <w:sz w:val="15"/>
                <w:szCs w:val="15"/>
                <w:u w:val="none"/>
                <w:lang w:eastAsia="zh-CN"/>
              </w:rPr>
              <w:t>、票据</w:t>
            </w:r>
            <w:r>
              <w:rPr>
                <w:rFonts w:hint="eastAsia" w:ascii="黑体" w:hAnsi="黑体" w:eastAsia="黑体" w:cs="黑体"/>
                <w:i w:val="0"/>
                <w:iCs w:val="0"/>
                <w:color w:val="000000"/>
                <w:sz w:val="15"/>
                <w:szCs w:val="15"/>
                <w:u w:val="none"/>
              </w:rPr>
              <w:t>网络直报</w:t>
            </w:r>
            <w:r>
              <w:rPr>
                <w:rFonts w:hint="eastAsia" w:ascii="黑体" w:hAnsi="黑体" w:eastAsia="黑体" w:cs="黑体"/>
                <w:i w:val="0"/>
                <w:iCs w:val="0"/>
                <w:color w:val="000000"/>
                <w:sz w:val="15"/>
                <w:szCs w:val="15"/>
                <w:u w:val="none"/>
                <w:lang w:val="en-US" w:eastAsia="zh-CN"/>
              </w:rPr>
              <w:t>的报审工作。</w:t>
            </w:r>
            <w:r>
              <w:rPr>
                <w:rFonts w:hint="eastAsia" w:ascii="黑体" w:hAnsi="黑体" w:eastAsia="黑体" w:cs="黑体"/>
                <w:i w:val="0"/>
                <w:iCs w:val="0"/>
                <w:color w:val="000000"/>
                <w:sz w:val="15"/>
                <w:szCs w:val="15"/>
                <w:u w:val="none"/>
                <w:lang w:eastAsia="zh-CN"/>
              </w:rPr>
              <w:t>积极推动</w:t>
            </w:r>
            <w:r>
              <w:rPr>
                <w:rFonts w:hint="eastAsia" w:ascii="黑体" w:hAnsi="黑体" w:eastAsia="黑体" w:cs="黑体"/>
                <w:i w:val="0"/>
                <w:iCs w:val="0"/>
                <w:color w:val="000000"/>
                <w:sz w:val="15"/>
                <w:szCs w:val="15"/>
                <w:u w:val="none"/>
                <w:lang w:val="en-US" w:eastAsia="zh-CN"/>
              </w:rPr>
              <w:t>区法院、区人民医院等3家公共机构创建</w:t>
            </w:r>
            <w:r>
              <w:rPr>
                <w:rFonts w:hint="eastAsia" w:ascii="黑体" w:hAnsi="黑体" w:eastAsia="黑体" w:cs="黑体"/>
                <w:i w:val="0"/>
                <w:iCs w:val="0"/>
                <w:color w:val="000000"/>
                <w:sz w:val="15"/>
                <w:szCs w:val="15"/>
                <w:u w:val="none"/>
                <w:lang w:eastAsia="zh-CN"/>
              </w:rPr>
              <w:t>省公共机构生活垃圾分类示范单位。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10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年度预算数（万元）</w:t>
            </w: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年初预算</w:t>
            </w:r>
          </w:p>
        </w:tc>
        <w:tc>
          <w:tcPr>
            <w:tcW w:w="31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调整后预算数</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预算执行数</w:t>
            </w:r>
          </w:p>
        </w:tc>
        <w:tc>
          <w:tcPr>
            <w:tcW w:w="11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预算执行率</w:t>
            </w:r>
          </w:p>
        </w:tc>
        <w:tc>
          <w:tcPr>
            <w:tcW w:w="23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2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总额</w:t>
            </w: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w:t>
            </w:r>
          </w:p>
        </w:tc>
        <w:tc>
          <w:tcPr>
            <w:tcW w:w="31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w:t>
            </w:r>
          </w:p>
        </w:tc>
        <w:tc>
          <w:tcPr>
            <w:tcW w:w="11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23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227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其中：财政资金</w:t>
            </w: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w:t>
            </w:r>
          </w:p>
        </w:tc>
        <w:tc>
          <w:tcPr>
            <w:tcW w:w="31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w:t>
            </w:r>
          </w:p>
        </w:tc>
        <w:tc>
          <w:tcPr>
            <w:tcW w:w="11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23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22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财政专户管理资金</w:t>
            </w: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31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1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23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22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单位资金</w:t>
            </w: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31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1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23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22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其他资金</w:t>
            </w: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31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11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23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22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10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一级指标</w:t>
            </w: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二级指标</w:t>
            </w:r>
          </w:p>
        </w:tc>
        <w:tc>
          <w:tcPr>
            <w:tcW w:w="31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三级指标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指标性质</w:t>
            </w:r>
          </w:p>
        </w:tc>
        <w:tc>
          <w:tcPr>
            <w:tcW w:w="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指标值</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度量单位</w:t>
            </w:r>
          </w:p>
        </w:tc>
        <w:tc>
          <w:tcPr>
            <w:tcW w:w="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完成值</w:t>
            </w:r>
          </w:p>
        </w:tc>
        <w:tc>
          <w:tcPr>
            <w:tcW w:w="8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2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1057"/>
                <w:tab w:val="center" w:pos="1780"/>
              </w:tabs>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exac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179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产出指标</w:t>
            </w: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数量指标</w:t>
            </w:r>
          </w:p>
        </w:tc>
        <w:tc>
          <w:tcPr>
            <w:tcW w:w="31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hint="eastAsia" w:ascii="宋体" w:hAnsi="宋体" w:cs="宋体"/>
                <w:i w:val="0"/>
                <w:iCs w:val="0"/>
                <w:color w:val="000000"/>
                <w:kern w:val="0"/>
                <w:sz w:val="15"/>
                <w:szCs w:val="15"/>
                <w:u w:val="none"/>
                <w:lang w:val="en-US" w:eastAsia="zh-CN" w:bidi="ar"/>
              </w:rPr>
              <w:t>积极推动省公共机构生活垃圾分类示范单位创建</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hint="eastAsia" w:ascii="宋体" w:hAnsi="宋体" w:cs="宋体"/>
                <w:i w:val="0"/>
                <w:iCs w:val="0"/>
                <w:color w:val="000000"/>
                <w:kern w:val="0"/>
                <w:sz w:val="15"/>
                <w:szCs w:val="15"/>
                <w:u w:val="none"/>
                <w:lang w:val="en-US" w:eastAsia="zh-CN" w:bidi="ar"/>
              </w:rPr>
              <w:t>3</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hint="eastAsia" w:ascii="宋体" w:hAnsi="宋体" w:cs="宋体"/>
                <w:i w:val="0"/>
                <w:iCs w:val="0"/>
                <w:color w:val="000000"/>
                <w:kern w:val="0"/>
                <w:sz w:val="15"/>
                <w:szCs w:val="15"/>
                <w:u w:val="none"/>
                <w:lang w:val="en-US" w:eastAsia="zh-CN" w:bidi="ar"/>
              </w:rPr>
              <w:t>家</w:t>
            </w:r>
          </w:p>
        </w:tc>
        <w:tc>
          <w:tcPr>
            <w:tcW w:w="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微软雅黑" w:hAnsi="微软雅黑" w:eastAsia="微软雅黑" w:cs="微软雅黑"/>
                <w:i/>
                <w:iCs/>
                <w:color w:val="000000"/>
                <w:sz w:val="15"/>
                <w:szCs w:val="15"/>
                <w:u w:val="none"/>
              </w:rPr>
            </w:pPr>
            <w:r>
              <w:rPr>
                <w:rFonts w:hint="eastAsia" w:ascii="微软雅黑" w:hAnsi="微软雅黑" w:eastAsia="微软雅黑" w:cs="微软雅黑"/>
                <w:i/>
                <w:iCs/>
                <w:color w:val="000000"/>
                <w:kern w:val="0"/>
                <w:sz w:val="15"/>
                <w:szCs w:val="15"/>
                <w:u w:val="none"/>
                <w:lang w:val="en-US" w:eastAsia="zh-CN" w:bidi="ar"/>
              </w:rPr>
              <w:t>3家</w:t>
            </w:r>
          </w:p>
        </w:tc>
        <w:tc>
          <w:tcPr>
            <w:tcW w:w="8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5"/>
                <w:szCs w:val="15"/>
                <w:u w:val="none"/>
                <w:lang w:val="en-US"/>
              </w:rPr>
            </w:pPr>
            <w:r>
              <w:rPr>
                <w:rFonts w:hint="eastAsia" w:ascii="宋体" w:hAnsi="宋体" w:cs="宋体"/>
                <w:i w:val="0"/>
                <w:iCs w:val="0"/>
                <w:color w:val="000000"/>
                <w:kern w:val="0"/>
                <w:sz w:val="15"/>
                <w:szCs w:val="15"/>
                <w:u w:val="none"/>
                <w:lang w:val="en-US" w:eastAsia="zh-CN" w:bidi="ar"/>
              </w:rPr>
              <w:t>10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2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17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时效指标</w:t>
            </w:r>
          </w:p>
        </w:tc>
        <w:tc>
          <w:tcPr>
            <w:tcW w:w="31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完成时间</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202</w:t>
            </w:r>
            <w:r>
              <w:rPr>
                <w:rFonts w:hint="eastAsia" w:ascii="宋体" w:hAnsi="宋体" w:cs="宋体"/>
                <w:i w:val="0"/>
                <w:iCs w:val="0"/>
                <w:color w:val="000000"/>
                <w:kern w:val="0"/>
                <w:sz w:val="15"/>
                <w:szCs w:val="15"/>
                <w:u w:val="none"/>
                <w:lang w:val="en-US" w:eastAsia="zh-CN" w:bidi="ar"/>
              </w:rPr>
              <w:t>3</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w:t>
            </w:r>
          </w:p>
        </w:tc>
        <w:tc>
          <w:tcPr>
            <w:tcW w:w="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微软雅黑" w:hAnsi="微软雅黑" w:eastAsia="微软雅黑" w:cs="微软雅黑"/>
                <w:i/>
                <w:iCs/>
                <w:color w:val="000000"/>
                <w:sz w:val="15"/>
                <w:szCs w:val="15"/>
                <w:u w:val="none"/>
              </w:rPr>
            </w:pPr>
            <w:r>
              <w:rPr>
                <w:rFonts w:hint="eastAsia" w:ascii="微软雅黑" w:hAnsi="微软雅黑" w:eastAsia="微软雅黑" w:cs="微软雅黑"/>
                <w:i/>
                <w:iCs/>
                <w:color w:val="000000"/>
                <w:kern w:val="0"/>
                <w:sz w:val="15"/>
                <w:szCs w:val="15"/>
                <w:u w:val="none"/>
                <w:lang w:val="en-US" w:eastAsia="zh-CN" w:bidi="ar"/>
              </w:rPr>
              <w:t>2023年</w:t>
            </w:r>
          </w:p>
        </w:tc>
        <w:tc>
          <w:tcPr>
            <w:tcW w:w="8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5"/>
                <w:szCs w:val="15"/>
                <w:u w:val="none"/>
                <w:lang w:val="en-US"/>
              </w:rPr>
            </w:pPr>
            <w:r>
              <w:rPr>
                <w:rFonts w:hint="eastAsia" w:ascii="宋体" w:hAnsi="宋体" w:cs="宋体"/>
                <w:i w:val="0"/>
                <w:iCs w:val="0"/>
                <w:color w:val="000000"/>
                <w:kern w:val="0"/>
                <w:sz w:val="15"/>
                <w:szCs w:val="15"/>
                <w:u w:val="none"/>
                <w:lang w:val="en-US" w:eastAsia="zh-CN" w:bidi="ar"/>
              </w:rPr>
              <w:t>20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20</w:t>
            </w:r>
          </w:p>
        </w:tc>
        <w:tc>
          <w:tcPr>
            <w:tcW w:w="2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17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成本指标</w:t>
            </w:r>
          </w:p>
        </w:tc>
        <w:tc>
          <w:tcPr>
            <w:tcW w:w="31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达到目标数的单位成本</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万元</w:t>
            </w:r>
          </w:p>
        </w:tc>
        <w:tc>
          <w:tcPr>
            <w:tcW w:w="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微软雅黑" w:hAnsi="微软雅黑" w:eastAsia="微软雅黑" w:cs="微软雅黑"/>
                <w:i/>
                <w:iCs/>
                <w:color w:val="000000"/>
                <w:sz w:val="15"/>
                <w:szCs w:val="15"/>
                <w:u w:val="none"/>
              </w:rPr>
            </w:pPr>
            <w:r>
              <w:rPr>
                <w:rFonts w:hint="eastAsia" w:ascii="微软雅黑" w:hAnsi="微软雅黑" w:eastAsia="微软雅黑" w:cs="微软雅黑"/>
                <w:i/>
                <w:iCs/>
                <w:color w:val="000000"/>
                <w:kern w:val="0"/>
                <w:sz w:val="15"/>
                <w:szCs w:val="15"/>
                <w:u w:val="none"/>
                <w:lang w:val="en-US" w:eastAsia="zh-CN" w:bidi="ar"/>
              </w:rPr>
              <w:t>10万元</w:t>
            </w:r>
          </w:p>
        </w:tc>
        <w:tc>
          <w:tcPr>
            <w:tcW w:w="8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5"/>
                <w:szCs w:val="15"/>
                <w:u w:val="none"/>
                <w:lang w:val="en-US"/>
              </w:rPr>
            </w:pPr>
            <w:r>
              <w:rPr>
                <w:rFonts w:hint="eastAsia" w:ascii="宋体" w:hAnsi="宋体" w:cs="宋体"/>
                <w:i w:val="0"/>
                <w:iCs w:val="0"/>
                <w:color w:val="000000"/>
                <w:kern w:val="0"/>
                <w:sz w:val="15"/>
                <w:szCs w:val="15"/>
                <w:u w:val="none"/>
                <w:lang w:val="en-US" w:eastAsia="zh-CN" w:bidi="ar"/>
              </w:rPr>
              <w:t>20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20</w:t>
            </w:r>
          </w:p>
        </w:tc>
        <w:tc>
          <w:tcPr>
            <w:tcW w:w="2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179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效益指标</w:t>
            </w: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生态效益指标</w:t>
            </w:r>
          </w:p>
        </w:tc>
        <w:tc>
          <w:tcPr>
            <w:tcW w:w="31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降低能耗，节约资源</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2.5</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微软雅黑" w:hAnsi="微软雅黑" w:eastAsia="微软雅黑" w:cs="微软雅黑"/>
                <w:i/>
                <w:iCs/>
                <w:color w:val="000000"/>
                <w:sz w:val="15"/>
                <w:szCs w:val="15"/>
                <w:u w:val="none"/>
              </w:rPr>
            </w:pPr>
            <w:r>
              <w:rPr>
                <w:rFonts w:hint="eastAsia" w:ascii="微软雅黑" w:hAnsi="微软雅黑" w:eastAsia="微软雅黑" w:cs="微软雅黑"/>
                <w:i/>
                <w:iCs/>
                <w:color w:val="000000"/>
                <w:kern w:val="0"/>
                <w:sz w:val="15"/>
                <w:szCs w:val="15"/>
                <w:u w:val="none"/>
                <w:lang w:val="en-US" w:eastAsia="zh-CN" w:bidi="ar"/>
              </w:rPr>
              <w:t>2.50%</w:t>
            </w:r>
          </w:p>
        </w:tc>
        <w:tc>
          <w:tcPr>
            <w:tcW w:w="8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hint="eastAsia" w:ascii="宋体" w:hAnsi="宋体" w:cs="宋体"/>
                <w:i w:val="0"/>
                <w:iCs w:val="0"/>
                <w:color w:val="000000"/>
                <w:kern w:val="0"/>
                <w:sz w:val="15"/>
                <w:szCs w:val="15"/>
                <w:u w:val="none"/>
                <w:lang w:val="en-US" w:eastAsia="zh-CN" w:bidi="ar"/>
              </w:rPr>
              <w:t>1</w:t>
            </w:r>
            <w:r>
              <w:rPr>
                <w:rFonts w:ascii="宋体" w:hAnsi="宋体" w:eastAsia="宋体" w:cs="宋体"/>
                <w:i w:val="0"/>
                <w:iCs w:val="0"/>
                <w:color w:val="000000"/>
                <w:kern w:val="0"/>
                <w:sz w:val="15"/>
                <w:szCs w:val="15"/>
                <w:u w:val="none"/>
                <w:lang w:val="en-US" w:eastAsia="zh-CN" w:bidi="ar"/>
              </w:rPr>
              <w:t>5</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15</w:t>
            </w:r>
          </w:p>
        </w:tc>
        <w:tc>
          <w:tcPr>
            <w:tcW w:w="2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3" w:hRule="exac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17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可持续影响指标</w:t>
            </w:r>
          </w:p>
        </w:tc>
        <w:tc>
          <w:tcPr>
            <w:tcW w:w="31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提高全民节能意识，降低能源资源消耗</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定性</w:t>
            </w:r>
          </w:p>
        </w:tc>
        <w:tc>
          <w:tcPr>
            <w:tcW w:w="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优良中低差</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人/年</w:t>
            </w:r>
          </w:p>
        </w:tc>
        <w:tc>
          <w:tcPr>
            <w:tcW w:w="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微软雅黑" w:hAnsi="微软雅黑" w:eastAsia="微软雅黑" w:cs="微软雅黑"/>
                <w:i/>
                <w:iCs/>
                <w:color w:val="000000"/>
                <w:sz w:val="15"/>
                <w:szCs w:val="15"/>
                <w:u w:val="none"/>
              </w:rPr>
            </w:pPr>
            <w:r>
              <w:rPr>
                <w:rFonts w:hint="eastAsia" w:ascii="微软雅黑" w:hAnsi="微软雅黑" w:eastAsia="微软雅黑" w:cs="微软雅黑"/>
                <w:i/>
                <w:iCs/>
                <w:color w:val="000000"/>
                <w:kern w:val="0"/>
                <w:sz w:val="15"/>
                <w:szCs w:val="15"/>
                <w:u w:val="none"/>
                <w:lang w:val="en-US" w:eastAsia="zh-CN" w:bidi="ar"/>
              </w:rPr>
              <w:t>优</w:t>
            </w:r>
          </w:p>
        </w:tc>
        <w:tc>
          <w:tcPr>
            <w:tcW w:w="8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hint="eastAsia" w:ascii="宋体" w:hAnsi="宋体" w:cs="宋体"/>
                <w:i w:val="0"/>
                <w:iCs w:val="0"/>
                <w:color w:val="000000"/>
                <w:kern w:val="0"/>
                <w:sz w:val="15"/>
                <w:szCs w:val="15"/>
                <w:u w:val="none"/>
                <w:lang w:val="en-US" w:eastAsia="zh-CN" w:bidi="ar"/>
              </w:rPr>
              <w:t>1</w:t>
            </w:r>
            <w:r>
              <w:rPr>
                <w:rFonts w:ascii="宋体" w:hAnsi="宋体" w:eastAsia="宋体" w:cs="宋体"/>
                <w:i w:val="0"/>
                <w:iCs w:val="0"/>
                <w:color w:val="000000"/>
                <w:kern w:val="0"/>
                <w:sz w:val="15"/>
                <w:szCs w:val="15"/>
                <w:u w:val="none"/>
                <w:lang w:val="en-US" w:eastAsia="zh-CN" w:bidi="ar"/>
              </w:rPr>
              <w:t>5</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15</w:t>
            </w:r>
          </w:p>
        </w:tc>
        <w:tc>
          <w:tcPr>
            <w:tcW w:w="2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满意度指标</w:t>
            </w: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服务对象满意度指标</w:t>
            </w:r>
          </w:p>
        </w:tc>
        <w:tc>
          <w:tcPr>
            <w:tcW w:w="31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服务对象的满意程度</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95</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微软雅黑" w:hAnsi="微软雅黑" w:eastAsia="微软雅黑" w:cs="微软雅黑"/>
                <w:i/>
                <w:iCs/>
                <w:color w:val="000000"/>
                <w:sz w:val="15"/>
                <w:szCs w:val="15"/>
                <w:u w:val="none"/>
              </w:rPr>
            </w:pPr>
            <w:r>
              <w:rPr>
                <w:rFonts w:hint="eastAsia" w:ascii="微软雅黑" w:hAnsi="微软雅黑" w:eastAsia="微软雅黑" w:cs="微软雅黑"/>
                <w:i/>
                <w:iCs/>
                <w:color w:val="000000"/>
                <w:kern w:val="0"/>
                <w:sz w:val="15"/>
                <w:szCs w:val="15"/>
                <w:u w:val="none"/>
                <w:lang w:val="en-US" w:eastAsia="zh-CN" w:bidi="ar"/>
              </w:rPr>
              <w:t>98%</w:t>
            </w:r>
          </w:p>
        </w:tc>
        <w:tc>
          <w:tcPr>
            <w:tcW w:w="8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5"/>
                <w:szCs w:val="15"/>
                <w:u w:val="none"/>
                <w:lang w:val="en-US"/>
              </w:rPr>
            </w:pPr>
            <w:r>
              <w:rPr>
                <w:rFonts w:hint="eastAsia" w:ascii="宋体" w:hAnsi="宋体" w:cs="宋体"/>
                <w:i w:val="0"/>
                <w:iCs w:val="0"/>
                <w:color w:val="000000"/>
                <w:kern w:val="0"/>
                <w:sz w:val="15"/>
                <w:szCs w:val="15"/>
                <w:u w:val="none"/>
                <w:lang w:val="en-US" w:eastAsia="zh-CN" w:bidi="ar"/>
              </w:rPr>
              <w:t>10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2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11457"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合计</w:t>
            </w:r>
          </w:p>
        </w:tc>
        <w:tc>
          <w:tcPr>
            <w:tcW w:w="8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2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1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246"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公共机构节能减排宣传经费全年预算数10万元，执行数为10万元，完成预算的100%。依托线上线下相结合等多种形式，在全区范围内开展了世界节水日、世界环境日、垃圾分类等节能宣传周系列主题活动。做好全区公共机构年度能耗数据、票据网络直报的报审工作。积极推动区法院、区人民医院等3家公共机构创建省公共机构生活垃圾分类示范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246"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节能工作经费紧张，致使我们工作滞后，甚至推动困难；与各部门沟通欠缺；节能宣传还不够。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3" w:hRule="atLeast"/>
        </w:trPr>
        <w:tc>
          <w:tcPr>
            <w:tcW w:w="1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246"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为确保全区公共机构各项节能工作高效落地落实，建议提高公共机构节能工作经费；加强与相关部门沟通协调；节能宣传上进一步着力，努力让全体公共机构提高节约意识。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881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项目负责人：王秀娟</w:t>
            </w:r>
          </w:p>
        </w:tc>
        <w:tc>
          <w:tcPr>
            <w:tcW w:w="6429"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财务负责人：黄小丽</w:t>
            </w:r>
          </w:p>
        </w:tc>
      </w:tr>
    </w:tbl>
    <w:p>
      <w:pPr>
        <w:pStyle w:val="2"/>
        <w:pageBreakBefore w:val="0"/>
        <w:kinsoku/>
        <w:wordWrap/>
        <w:overflowPunct/>
        <w:topLinePunct w:val="0"/>
        <w:bidi w:val="0"/>
        <w:spacing w:before="93" w:line="560" w:lineRule="exact"/>
        <w:textAlignment w:val="auto"/>
        <w:rPr>
          <w:rFonts w:hAnsi="Calibri" w:cs="仿宋"/>
          <w:sz w:val="32"/>
          <w:szCs w:val="32"/>
        </w:rPr>
        <w:sectPr>
          <w:footerReference r:id="rId11" w:type="first"/>
          <w:footerReference r:id="rId10" w:type="default"/>
          <w:pgSz w:w="16838" w:h="11906" w:orient="landscape"/>
          <w:pgMar w:top="1134" w:right="1440" w:bottom="1349" w:left="1440" w:header="851" w:footer="992" w:gutter="0"/>
          <w:pgNumType w:fmt="decimal" w:start="16"/>
          <w:cols w:space="0" w:num="1"/>
          <w:rtlGutter w:val="0"/>
          <w:docGrid w:type="lines" w:linePitch="319" w:charSpace="0"/>
        </w:sectPr>
      </w:pPr>
    </w:p>
    <w:tbl>
      <w:tblPr>
        <w:tblStyle w:val="14"/>
        <w:tblW w:w="14383"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8"/>
        <w:gridCol w:w="1425"/>
        <w:gridCol w:w="1335"/>
        <w:gridCol w:w="270"/>
        <w:gridCol w:w="1440"/>
        <w:gridCol w:w="105"/>
        <w:gridCol w:w="1035"/>
        <w:gridCol w:w="1065"/>
        <w:gridCol w:w="180"/>
        <w:gridCol w:w="870"/>
        <w:gridCol w:w="420"/>
        <w:gridCol w:w="330"/>
        <w:gridCol w:w="825"/>
        <w:gridCol w:w="675"/>
        <w:gridCol w:w="675"/>
        <w:gridCol w:w="810"/>
        <w:gridCol w:w="2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4383"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5" w:hRule="atLeast"/>
        </w:trPr>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项目名称</w:t>
            </w:r>
          </w:p>
        </w:tc>
        <w:tc>
          <w:tcPr>
            <w:tcW w:w="1209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51190223T000009564170-机关食堂</w:t>
            </w:r>
            <w:r>
              <w:rPr>
                <w:rFonts w:ascii="宋体" w:hAnsi="宋体" w:eastAsia="宋体" w:cs="宋体"/>
                <w:i w:val="0"/>
                <w:iCs w:val="0"/>
                <w:color w:val="000000"/>
                <w:kern w:val="0"/>
                <w:sz w:val="15"/>
                <w:szCs w:val="15"/>
                <w:u w:val="none"/>
                <w:lang w:val="en-US" w:eastAsia="zh-CN" w:bidi="ar"/>
              </w:rPr>
              <w:t>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主管部门</w:t>
            </w:r>
          </w:p>
        </w:tc>
        <w:tc>
          <w:tcPr>
            <w:tcW w:w="30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区机关事务服务中心本级</w:t>
            </w:r>
          </w:p>
        </w:tc>
        <w:tc>
          <w:tcPr>
            <w:tcW w:w="5505"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巴中市巴州区机关事务服务中心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8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项目基本情况</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1.项目年度目标完成情况</w:t>
            </w:r>
          </w:p>
        </w:tc>
        <w:tc>
          <w:tcPr>
            <w:tcW w:w="31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项目年度目标</w:t>
            </w:r>
          </w:p>
        </w:tc>
        <w:tc>
          <w:tcPr>
            <w:tcW w:w="8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31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加强后勤工作管理，；持续协助督查全区行政事业单位机关食堂运行情况；既定餐饮浪费，开展厉行节约，推动文明用餐、杜绝浪费；贯彻落实特色美食进尽管食堂。</w:t>
            </w:r>
          </w:p>
        </w:tc>
        <w:tc>
          <w:tcPr>
            <w:tcW w:w="8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sz w:val="15"/>
                <w:szCs w:val="15"/>
                <w:u w:val="none"/>
                <w:lang w:val="en-US" w:eastAsia="zh-CN"/>
              </w:rPr>
              <w:t>一是严把机关食堂环境卫生、人员健康、食材采购“三道关”，切实筑牢食品安全“防火墙”。二是优化就餐服务，制定科学配餐方案，不断增加饭菜花色品种，“走出去”学习先进饮食文化经验，提升干部职工就餐满意度。三是严明安全用气要求，对全区行政事业单位机关食堂后厨燃气设备安全性能和燃气报警装置进行了检查，并发放了“天然气安全使用明白卡”，宣讲了安全用气知识。四是扎实开展“厉行节约不到位”专项督查，做实“光盘行动”，避免“舌尖上的浪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2.项目实施内容及过程概述</w:t>
            </w:r>
          </w:p>
        </w:tc>
        <w:tc>
          <w:tcPr>
            <w:tcW w:w="1209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宋体" w:hAnsi="宋体" w:eastAsia="宋体" w:cs="宋体"/>
                <w:i w:val="0"/>
                <w:iCs w:val="0"/>
                <w:color w:val="000000"/>
                <w:sz w:val="15"/>
                <w:szCs w:val="15"/>
                <w:u w:val="none"/>
                <w:lang w:val="en-US"/>
              </w:rPr>
            </w:pPr>
            <w:r>
              <w:rPr>
                <w:rFonts w:hint="eastAsia" w:ascii="黑体" w:hAnsi="黑体" w:eastAsia="黑体" w:cs="黑体"/>
                <w:i w:val="0"/>
                <w:iCs w:val="0"/>
                <w:color w:val="000000"/>
                <w:sz w:val="15"/>
                <w:szCs w:val="15"/>
                <w:u w:val="none"/>
                <w:lang w:val="en-US" w:eastAsia="zh-CN"/>
              </w:rPr>
              <w:t>严把机关食堂环境卫生、人员健康、食材采购“三道关”，切实筑牢食品安全“防火墙”。优化就餐服务，制定科学配餐方案，不断增加饭菜花色品种，“走出去”学习先进饮食文化经验，提升干部职工就餐满意度。严明安全用气要求，对全区行政事业单位机关食堂后厨燃气设备安全性能和燃气报警装置进行了检查，并发放了“天然气安全使用明白卡”，宣讲了安全用气知识。扎实开展“厉行节约不到位”专项督查，做实“光盘行动”，避免“舌尖上的浪费”。圆满完成接待任务20余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8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预算执行情况（10分）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年度预算数（万元）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年初预算</w:t>
            </w:r>
          </w:p>
        </w:tc>
        <w:tc>
          <w:tcPr>
            <w:tcW w:w="2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调整后预算数</w:t>
            </w:r>
          </w:p>
        </w:tc>
        <w:tc>
          <w:tcPr>
            <w:tcW w:w="25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预算执行数</w:t>
            </w:r>
          </w:p>
        </w:tc>
        <w:tc>
          <w:tcPr>
            <w:tcW w:w="18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总额</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w:t>
            </w:r>
            <w:r>
              <w:rPr>
                <w:rFonts w:ascii="宋体" w:hAnsi="宋体" w:eastAsia="宋体" w:cs="宋体"/>
                <w:i w:val="0"/>
                <w:iCs w:val="0"/>
                <w:color w:val="000000"/>
                <w:kern w:val="0"/>
                <w:sz w:val="15"/>
                <w:szCs w:val="15"/>
                <w:u w:val="none"/>
                <w:lang w:val="en-US" w:eastAsia="zh-CN" w:bidi="ar"/>
              </w:rPr>
              <w:t>.00</w:t>
            </w:r>
          </w:p>
        </w:tc>
        <w:tc>
          <w:tcPr>
            <w:tcW w:w="2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w:t>
            </w:r>
            <w:r>
              <w:rPr>
                <w:rFonts w:ascii="宋体" w:hAnsi="宋体" w:eastAsia="宋体" w:cs="宋体"/>
                <w:i w:val="0"/>
                <w:iCs w:val="0"/>
                <w:color w:val="000000"/>
                <w:kern w:val="0"/>
                <w:sz w:val="15"/>
                <w:szCs w:val="15"/>
                <w:u w:val="none"/>
                <w:lang w:val="en-US" w:eastAsia="zh-CN" w:bidi="ar"/>
              </w:rPr>
              <w:t>.00</w:t>
            </w:r>
          </w:p>
        </w:tc>
        <w:tc>
          <w:tcPr>
            <w:tcW w:w="25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w:t>
            </w:r>
            <w:r>
              <w:rPr>
                <w:rFonts w:ascii="宋体" w:hAnsi="宋体" w:eastAsia="宋体" w:cs="宋体"/>
                <w:i w:val="0"/>
                <w:iCs w:val="0"/>
                <w:color w:val="000000"/>
                <w:kern w:val="0"/>
                <w:sz w:val="15"/>
                <w:szCs w:val="15"/>
                <w:u w:val="none"/>
                <w:lang w:val="en-US" w:eastAsia="zh-CN" w:bidi="ar"/>
              </w:rPr>
              <w:t>.00</w:t>
            </w:r>
          </w:p>
        </w:tc>
        <w:tc>
          <w:tcPr>
            <w:tcW w:w="18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其中：财政资金</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w:t>
            </w:r>
            <w:r>
              <w:rPr>
                <w:rFonts w:ascii="宋体" w:hAnsi="宋体" w:eastAsia="宋体" w:cs="宋体"/>
                <w:i w:val="0"/>
                <w:iCs w:val="0"/>
                <w:color w:val="000000"/>
                <w:kern w:val="0"/>
                <w:sz w:val="15"/>
                <w:szCs w:val="15"/>
                <w:u w:val="none"/>
                <w:lang w:val="en-US" w:eastAsia="zh-CN" w:bidi="ar"/>
              </w:rPr>
              <w:t>.00</w:t>
            </w:r>
          </w:p>
        </w:tc>
        <w:tc>
          <w:tcPr>
            <w:tcW w:w="2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w:t>
            </w:r>
            <w:r>
              <w:rPr>
                <w:rFonts w:ascii="宋体" w:hAnsi="宋体" w:eastAsia="宋体" w:cs="宋体"/>
                <w:i w:val="0"/>
                <w:iCs w:val="0"/>
                <w:color w:val="000000"/>
                <w:kern w:val="0"/>
                <w:sz w:val="15"/>
                <w:szCs w:val="15"/>
                <w:u w:val="none"/>
                <w:lang w:val="en-US" w:eastAsia="zh-CN" w:bidi="ar"/>
              </w:rPr>
              <w:t>.00</w:t>
            </w:r>
          </w:p>
        </w:tc>
        <w:tc>
          <w:tcPr>
            <w:tcW w:w="25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w:t>
            </w:r>
            <w:r>
              <w:rPr>
                <w:rFonts w:ascii="宋体" w:hAnsi="宋体" w:eastAsia="宋体" w:cs="宋体"/>
                <w:i w:val="0"/>
                <w:iCs w:val="0"/>
                <w:color w:val="000000"/>
                <w:kern w:val="0"/>
                <w:sz w:val="15"/>
                <w:szCs w:val="15"/>
                <w:u w:val="none"/>
                <w:lang w:val="en-US" w:eastAsia="zh-CN" w:bidi="ar"/>
              </w:rPr>
              <w:t>.00</w:t>
            </w:r>
          </w:p>
        </w:tc>
        <w:tc>
          <w:tcPr>
            <w:tcW w:w="18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财政专户管理资金</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2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25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8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单位资金</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2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25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8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其他资金</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2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25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18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8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绩效指标（90分）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一级指标</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二级指标</w:t>
            </w:r>
          </w:p>
        </w:tc>
        <w:tc>
          <w:tcPr>
            <w:tcW w:w="38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指标性质</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指标值</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度量单位</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完成值</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产出指标</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数量指标</w:t>
            </w:r>
          </w:p>
        </w:tc>
        <w:tc>
          <w:tcPr>
            <w:tcW w:w="38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保障巴州区集中办公区就餐服务及公务接待、文印服务</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人</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50</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质量指标</w:t>
            </w:r>
          </w:p>
        </w:tc>
        <w:tc>
          <w:tcPr>
            <w:tcW w:w="38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食品安全</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起</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20</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成本指标</w:t>
            </w:r>
          </w:p>
        </w:tc>
        <w:tc>
          <w:tcPr>
            <w:tcW w:w="38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原辅材料、人工、水电气、维修等</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58</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万元</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效益指标</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经济效益指标</w:t>
            </w:r>
          </w:p>
        </w:tc>
        <w:tc>
          <w:tcPr>
            <w:tcW w:w="38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各项经费</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15"/>
                <w:szCs w:val="15"/>
                <w:u w:val="none"/>
                <w:lang w:val="en-US" w:eastAsia="zh-CN" w:bidi="ar"/>
              </w:rPr>
              <w:t>58</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万元</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满意度指标</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服务对象满意度指标</w:t>
            </w:r>
          </w:p>
        </w:tc>
        <w:tc>
          <w:tcPr>
            <w:tcW w:w="38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服务对象满意</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96</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exact"/>
        </w:trPr>
        <w:tc>
          <w:tcPr>
            <w:tcW w:w="10843"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合计</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5" w:hRule="atLeast"/>
        </w:trPr>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评价结论</w:t>
            </w:r>
          </w:p>
        </w:tc>
        <w:tc>
          <w:tcPr>
            <w:tcW w:w="1351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微软雅黑" w:hAnsi="微软雅黑" w:eastAsia="微软雅黑" w:cs="微软雅黑"/>
                <w:i/>
                <w:iCs/>
                <w:color w:val="000000"/>
                <w:sz w:val="15"/>
                <w:szCs w:val="15"/>
                <w:u w:val="none"/>
              </w:rPr>
            </w:pPr>
            <w:r>
              <w:rPr>
                <w:rFonts w:hint="eastAsia" w:ascii="微软雅黑" w:hAnsi="微软雅黑" w:eastAsia="微软雅黑" w:cs="微软雅黑"/>
                <w:i/>
                <w:iCs/>
                <w:color w:val="000000"/>
                <w:kern w:val="0"/>
                <w:sz w:val="15"/>
                <w:szCs w:val="15"/>
                <w:u w:val="none"/>
                <w:lang w:val="en-US" w:eastAsia="zh-CN" w:bidi="ar"/>
              </w:rPr>
              <w:t>机关食堂运行经费全年预算数58万元，执行数为58万元，完成预算的100%。一是严把机关食堂环境卫生、人员健康、食材采购“三道关”，切实筑牢食品安全“防火墙”。二是优化就餐服务，制定科学配餐方案，不断增加饭菜花色品种，“走出去”学习先进饮食文化经验，提升干部职工就餐满意度。三是严明安全用气要求，对全区行政事业单位机关食堂后厨燃气设备安全性能和燃气报警装置进行了检查，并发放了“天然气安全使用明白卡”，宣讲了安全用气知识。四是扎实开展“厉行节约不到位”专项督查，做实“光盘行动”，避免“舌尖上的浪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存在问题</w:t>
            </w:r>
          </w:p>
        </w:tc>
        <w:tc>
          <w:tcPr>
            <w:tcW w:w="1351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5"/>
                <w:szCs w:val="15"/>
                <w:u w:val="none"/>
              </w:rPr>
            </w:pPr>
            <w:r>
              <w:rPr>
                <w:rFonts w:hint="eastAsia" w:ascii="微软雅黑" w:hAnsi="微软雅黑" w:eastAsia="微软雅黑" w:cs="微软雅黑"/>
                <w:i/>
                <w:iCs/>
                <w:color w:val="000000"/>
                <w:kern w:val="0"/>
                <w:sz w:val="15"/>
                <w:szCs w:val="15"/>
                <w:u w:val="none"/>
                <w:lang w:val="en-US" w:eastAsia="zh-CN" w:bidi="ar"/>
              </w:rPr>
              <w:t>区政府机关食堂和机关文印室人员经费等未纳入财政年初预算，资金渠道来源单一，各单位分摊和收取的文印费用无力支付，常年资金短缺。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3" w:hRule="atLeast"/>
        </w:trPr>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改进措施</w:t>
            </w:r>
          </w:p>
        </w:tc>
        <w:tc>
          <w:tcPr>
            <w:tcW w:w="1351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5"/>
                <w:szCs w:val="15"/>
                <w:u w:val="none"/>
              </w:rPr>
            </w:pPr>
            <w:r>
              <w:rPr>
                <w:rFonts w:hint="eastAsia" w:ascii="微软雅黑" w:hAnsi="微软雅黑" w:eastAsia="微软雅黑" w:cs="微软雅黑"/>
                <w:i/>
                <w:iCs/>
                <w:color w:val="000000"/>
                <w:kern w:val="0"/>
                <w:sz w:val="15"/>
                <w:szCs w:val="15"/>
                <w:u w:val="none"/>
                <w:lang w:val="en-US" w:eastAsia="zh-CN" w:bidi="ar"/>
              </w:rPr>
              <w:t>根据后勤服务发展要求和实际情况，建议后勤管理运行经费纳入年出预算，保障后勤管理服务正常运行。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54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项目负责人：李芳</w:t>
            </w:r>
          </w:p>
        </w:tc>
        <w:tc>
          <w:tcPr>
            <w:tcW w:w="68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财务负责人：黄小丽</w:t>
            </w:r>
          </w:p>
        </w:tc>
      </w:tr>
    </w:tbl>
    <w:p>
      <w:pPr>
        <w:pageBreakBefore w:val="0"/>
        <w:kinsoku/>
        <w:wordWrap/>
        <w:overflowPunct/>
        <w:topLinePunct w:val="0"/>
        <w:bidi w:val="0"/>
        <w:spacing w:line="560" w:lineRule="exact"/>
        <w:jc w:val="both"/>
        <w:textAlignment w:val="auto"/>
        <w:outlineLvl w:val="0"/>
        <w:rPr>
          <w:rFonts w:hint="eastAsia" w:ascii="黑体" w:hAnsi="黑体" w:eastAsia="黑体"/>
          <w:sz w:val="44"/>
          <w:szCs w:val="44"/>
        </w:rPr>
        <w:sectPr>
          <w:footerReference r:id="rId13" w:type="first"/>
          <w:footerReference r:id="rId12" w:type="default"/>
          <w:pgSz w:w="16838" w:h="11906" w:orient="landscape"/>
          <w:pgMar w:top="1134" w:right="1440" w:bottom="692" w:left="1440" w:header="851" w:footer="992" w:gutter="0"/>
          <w:pgNumType w:fmt="decimal"/>
          <w:cols w:space="0" w:num="1"/>
          <w:rtlGutter w:val="0"/>
          <w:docGrid w:type="lines" w:linePitch="321" w:charSpace="0"/>
        </w:sectPr>
      </w:pPr>
    </w:p>
    <w:p>
      <w:pPr>
        <w:pageBreakBefore w:val="0"/>
        <w:widowControl w:val="0"/>
        <w:kinsoku/>
        <w:wordWrap/>
        <w:overflowPunct/>
        <w:topLinePunct w:val="0"/>
        <w:autoSpaceDE/>
        <w:autoSpaceDN/>
        <w:bidi w:val="0"/>
        <w:adjustRightInd/>
        <w:snapToGrid/>
        <w:spacing w:line="560" w:lineRule="exact"/>
        <w:jc w:val="center"/>
        <w:textAlignment w:val="auto"/>
        <w:outlineLvl w:val="0"/>
        <w:rPr>
          <w:rFonts w:ascii="仿宋" w:hAnsi="仿宋" w:eastAsia="仿宋"/>
        </w:rPr>
      </w:pPr>
      <w:r>
        <w:rPr>
          <w:rFonts w:hint="eastAsia" w:ascii="黑体" w:hAnsi="黑体" w:eastAsia="黑体"/>
          <w:sz w:val="44"/>
          <w:szCs w:val="44"/>
        </w:rPr>
        <w:t>第</w:t>
      </w:r>
      <w:r>
        <w:rPr>
          <w:rStyle w:val="27"/>
          <w:rFonts w:hint="eastAsia" w:ascii="黑体" w:hAnsi="黑体" w:eastAsia="黑体"/>
          <w:b w:val="0"/>
        </w:rPr>
        <w:t>五部分 附表</w:t>
      </w:r>
      <w:bookmarkEnd w:id="52"/>
      <w:bookmarkEnd w:id="53"/>
      <w:bookmarkStart w:id="54" w:name="_Toc15396619"/>
    </w:p>
    <w:p>
      <w:pPr>
        <w:pStyle w:val="4"/>
        <w:pageBreakBefore w:val="0"/>
        <w:widowControl w:val="0"/>
        <w:tabs>
          <w:tab w:val="center" w:pos="4716"/>
          <w:tab w:val="left" w:pos="7919"/>
        </w:tabs>
        <w:kinsoku/>
        <w:wordWrap/>
        <w:overflowPunct/>
        <w:topLinePunct w:val="0"/>
        <w:autoSpaceDE/>
        <w:autoSpaceDN/>
        <w:bidi w:val="0"/>
        <w:adjustRightInd/>
        <w:snapToGrid/>
        <w:spacing w:before="0" w:after="0" w:line="560" w:lineRule="exact"/>
        <w:jc w:val="left"/>
        <w:textAlignment w:val="auto"/>
        <w:rPr>
          <w:rStyle w:val="28"/>
          <w:rFonts w:hint="eastAsia" w:ascii="仿宋" w:hAnsi="仿宋" w:eastAsia="仿宋"/>
          <w:b/>
          <w:bCs w:val="0"/>
        </w:rPr>
      </w:pPr>
      <w:r>
        <w:rPr>
          <w:rFonts w:hint="eastAsia" w:ascii="仿宋" w:hAnsi="仿宋" w:eastAsia="仿宋"/>
          <w:b/>
          <w:bCs w:val="0"/>
          <w:lang w:eastAsia="zh-CN"/>
        </w:rPr>
        <w:tab/>
      </w:r>
      <w:r>
        <w:rPr>
          <w:rFonts w:hint="eastAsia" w:ascii="仿宋" w:hAnsi="仿宋" w:eastAsia="仿宋"/>
          <w:b/>
          <w:bCs w:val="0"/>
        </w:rPr>
        <w:t>一、收</w:t>
      </w:r>
      <w:r>
        <w:rPr>
          <w:rStyle w:val="28"/>
          <w:rFonts w:hint="eastAsia" w:ascii="仿宋" w:hAnsi="仿宋" w:eastAsia="仿宋"/>
          <w:b/>
          <w:bCs w:val="0"/>
        </w:rPr>
        <w:t>入支出决算总表</w:t>
      </w:r>
      <w:bookmarkEnd w:id="54"/>
    </w:p>
    <w:tbl>
      <w:tblPr>
        <w:tblStyle w:val="14"/>
        <w:tblW w:w="0" w:type="auto"/>
        <w:tblInd w:w="-53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314"/>
        <w:gridCol w:w="702"/>
        <w:gridCol w:w="936"/>
        <w:gridCol w:w="2916"/>
        <w:gridCol w:w="656"/>
        <w:gridCol w:w="11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gridSpan w:val="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单位名称：巴中市巴州区机关事务服务中心</w:t>
            </w:r>
          </w:p>
        </w:tc>
        <w:tc>
          <w:tcPr>
            <w:tcW w:w="0" w:type="auto"/>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2023年度</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0" w:type="auto"/>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0" w:type="auto"/>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0" w:type="auto"/>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0" w:type="auto"/>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0" w:type="auto"/>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1,095.85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1,059.51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二、政府性基金预算财政拨款收入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二、外交支出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三、国有资本经营预算财政拨款收入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三、国防支出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四、上级补助收入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四、公共安全支出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五、事业收入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六、经营收入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六、科学技术支出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七、附属单位上缴收入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七、文化旅游体育与传媒支出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八、其他收入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八、社会保障和就业支出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九、卫生健康支出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十、节能环保支出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十一、城乡社区支出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十二、农林水支出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十三、交通运输支出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十四、资源勘探工业信息等支出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十五、商业服务业等支出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十六、金融支出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十七、援助其他地区支出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十八、自然资源海洋气象等支出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十九、住房保障支出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二十、粮油物资储备支出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二十一、国有资本经营预算支出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二十二、灾害防治及应急管理支出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二十三、其他支出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二十四、债务还本支出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二十五、债务付息支出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二十六、抗疫特别国债安排的支出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1,095.85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本年支出合计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1,095.85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使用非财政拨款结余（含专用结余）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结余分配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年末结转和结余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1,095.85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1,095.85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注：1.本表反映部门/单位本年度的总收支和年末结转结余情况。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2.本套报表金额单位转换时可能存在尾数误差。</w:t>
            </w:r>
          </w:p>
        </w:tc>
      </w:tr>
    </w:tbl>
    <w:p>
      <w:pPr>
        <w:pStyle w:val="2"/>
        <w:rPr>
          <w:rFonts w:hint="eastAsia"/>
          <w:lang w:val="en-US" w:eastAsia="zh-CN"/>
        </w:rPr>
        <w:sectPr>
          <w:footerReference r:id="rId15" w:type="first"/>
          <w:footerReference r:id="rId14" w:type="default"/>
          <w:pgSz w:w="11906" w:h="16838"/>
          <w:pgMar w:top="1440" w:right="692" w:bottom="1440" w:left="1899" w:header="851" w:footer="992" w:gutter="0"/>
          <w:pgNumType w:fmt="decimal" w:start="19"/>
          <w:cols w:space="0" w:num="1"/>
          <w:rtlGutter w:val="0"/>
          <w:docGrid w:type="lines" w:linePitch="321" w:charSpace="0"/>
        </w:sectPr>
      </w:pPr>
    </w:p>
    <w:p>
      <w:pPr>
        <w:pStyle w:val="4"/>
        <w:pageBreakBefore w:val="0"/>
        <w:numPr>
          <w:ilvl w:val="0"/>
          <w:numId w:val="1"/>
        </w:numPr>
        <w:kinsoku/>
        <w:wordWrap/>
        <w:overflowPunct/>
        <w:topLinePunct w:val="0"/>
        <w:bidi w:val="0"/>
        <w:spacing w:line="560" w:lineRule="exact"/>
        <w:ind w:left="210" w:leftChars="0" w:firstLine="0" w:firstLineChars="0"/>
        <w:jc w:val="center"/>
        <w:textAlignment w:val="auto"/>
        <w:rPr>
          <w:rStyle w:val="28"/>
          <w:rFonts w:hint="eastAsia" w:ascii="仿宋" w:hAnsi="仿宋" w:eastAsia="仿宋"/>
          <w:b/>
          <w:bCs/>
          <w:lang w:eastAsia="zh-CN"/>
        </w:rPr>
      </w:pPr>
      <w:bookmarkStart w:id="55" w:name="_Toc15396621"/>
      <w:r>
        <w:rPr>
          <w:rStyle w:val="28"/>
          <w:rFonts w:hint="eastAsia" w:ascii="仿宋" w:hAnsi="仿宋" w:eastAsia="仿宋"/>
          <w:b/>
          <w:bCs/>
          <w:lang w:eastAsia="zh-CN"/>
        </w:rPr>
        <w:t>收入决算表</w:t>
      </w:r>
    </w:p>
    <w:tbl>
      <w:tblPr>
        <w:tblStyle w:val="14"/>
        <w:tblW w:w="0" w:type="auto"/>
        <w:tblInd w:w="-35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5"/>
        <w:gridCol w:w="420"/>
        <w:gridCol w:w="480"/>
        <w:gridCol w:w="3630"/>
        <w:gridCol w:w="1080"/>
        <w:gridCol w:w="855"/>
        <w:gridCol w:w="648"/>
        <w:gridCol w:w="448"/>
        <w:gridCol w:w="504"/>
        <w:gridCol w:w="620"/>
        <w:gridCol w:w="5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7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2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63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5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4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4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54" w:type="dxa"/>
            <w:gridSpan w:val="3"/>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205" w:type="dxa"/>
            <w:gridSpan w:val="4"/>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单位名称：巴中市巴州区机关事务服务中心</w:t>
            </w:r>
          </w:p>
        </w:tc>
        <w:tc>
          <w:tcPr>
            <w:tcW w:w="108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1503"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2023年度</w:t>
            </w:r>
          </w:p>
        </w:tc>
        <w:tc>
          <w:tcPr>
            <w:tcW w:w="448"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504"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1150"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1575" w:type="dxa"/>
            <w:gridSpan w:val="3"/>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支出功能分类科目编码</w:t>
            </w:r>
          </w:p>
        </w:tc>
        <w:tc>
          <w:tcPr>
            <w:tcW w:w="3630"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财政拨款收入</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上级补助收入</w:t>
            </w:r>
          </w:p>
        </w:tc>
        <w:tc>
          <w:tcPr>
            <w:tcW w:w="448"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事业收入</w:t>
            </w:r>
          </w:p>
        </w:tc>
        <w:tc>
          <w:tcPr>
            <w:tcW w:w="504"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经营收入</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附属单位上缴收入</w:t>
            </w:r>
          </w:p>
        </w:tc>
        <w:tc>
          <w:tcPr>
            <w:tcW w:w="530"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1575" w:type="dxa"/>
            <w:gridSpan w:val="3"/>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3630"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448"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504"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530"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1575" w:type="dxa"/>
            <w:gridSpan w:val="3"/>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3630"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080"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648"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48"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04"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30"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75"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420"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480"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630"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1,095.85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1,095.85</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一般公共服务支出</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1,059.51</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1,059.51</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20103</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政府办公厅（室）及相关机构事务</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1,059.51</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1,059.51</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2010301</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行政运行</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715.93</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715.93</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2010302</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一般行政管理事务</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2010303</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机关服务</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313.00</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313.00</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2010399</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其他政府办公厅（室）及相关机构事务支出</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0.58</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0.58</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社会保障和就业支出</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17.15</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17.15</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20805</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行政事业单位养老支出</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17.15</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17.15</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2080505</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机关事业单位基本养老保险缴费支出</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15.07</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15.07</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2080506</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机关事业单位职业年金缴费支出</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210</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卫生健康支出</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6.71</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6.71</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21011</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行政事业单位医疗</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6.71</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6.71</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2101101</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行政单位医疗</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3.74</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3.74</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2101102</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事业单位医疗</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2.37</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2.37</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2101103</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公务员医疗补助</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0.60</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0.60</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221</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住房保障支出</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12.47</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12.47</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22102</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住房改革支出</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12.47</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12.47</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2210201</w:t>
            </w:r>
          </w:p>
        </w:tc>
        <w:tc>
          <w:tcPr>
            <w:tcW w:w="3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住房公积金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12.47</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12.47</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1" w:hRule="atLeast"/>
        </w:trPr>
        <w:tc>
          <w:tcPr>
            <w:tcW w:w="9890"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注：本表以“万元”为金额单位（保留两位小数）；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本表反映部门/单位本年度取得的各项收入情况。</w:t>
            </w:r>
          </w:p>
        </w:tc>
      </w:tr>
    </w:tbl>
    <w:p>
      <w:pPr>
        <w:numPr>
          <w:ilvl w:val="0"/>
          <w:numId w:val="0"/>
        </w:numPr>
        <w:ind w:leftChars="0"/>
        <w:rPr>
          <w:rFonts w:hint="eastAsia"/>
          <w:lang w:eastAsia="zh-CN"/>
        </w:rPr>
      </w:pPr>
    </w:p>
    <w:p>
      <w:pPr>
        <w:rPr>
          <w:rFonts w:hint="eastAsia"/>
        </w:rPr>
      </w:pPr>
    </w:p>
    <w:p>
      <w:pPr>
        <w:pStyle w:val="4"/>
        <w:pageBreakBefore w:val="0"/>
        <w:numPr>
          <w:ilvl w:val="0"/>
          <w:numId w:val="1"/>
        </w:numPr>
        <w:kinsoku/>
        <w:wordWrap/>
        <w:overflowPunct/>
        <w:topLinePunct w:val="0"/>
        <w:bidi w:val="0"/>
        <w:spacing w:line="560" w:lineRule="exact"/>
        <w:ind w:left="210" w:leftChars="0" w:firstLine="0" w:firstLineChars="0"/>
        <w:jc w:val="center"/>
        <w:textAlignment w:val="auto"/>
        <w:rPr>
          <w:rStyle w:val="28"/>
          <w:rFonts w:hint="eastAsia" w:ascii="仿宋" w:hAnsi="仿宋" w:eastAsia="仿宋"/>
          <w:b/>
          <w:bCs w:val="0"/>
        </w:rPr>
      </w:pPr>
      <w:r>
        <w:rPr>
          <w:rFonts w:hint="eastAsia" w:ascii="仿宋" w:hAnsi="仿宋" w:eastAsia="仿宋"/>
          <w:b/>
          <w:bCs w:val="0"/>
        </w:rPr>
        <w:t>支</w:t>
      </w:r>
      <w:r>
        <w:rPr>
          <w:rStyle w:val="28"/>
          <w:rFonts w:hint="eastAsia" w:ascii="仿宋" w:hAnsi="仿宋" w:eastAsia="仿宋"/>
          <w:b/>
          <w:bCs w:val="0"/>
        </w:rPr>
        <w:t>出决算表</w:t>
      </w:r>
      <w:bookmarkEnd w:id="55"/>
    </w:p>
    <w:tbl>
      <w:tblPr>
        <w:tblStyle w:val="14"/>
        <w:tblW w:w="9760" w:type="dxa"/>
        <w:tblInd w:w="-22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95"/>
        <w:gridCol w:w="525"/>
        <w:gridCol w:w="450"/>
        <w:gridCol w:w="3797"/>
        <w:gridCol w:w="950"/>
        <w:gridCol w:w="767"/>
        <w:gridCol w:w="767"/>
        <w:gridCol w:w="442"/>
        <w:gridCol w:w="441"/>
        <w:gridCol w:w="11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9" w:hRule="atLeast"/>
        </w:trPr>
        <w:tc>
          <w:tcPr>
            <w:tcW w:w="9760"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9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5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79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5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09" w:type="dxa"/>
            <w:gridSpan w:val="3"/>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267" w:type="dxa"/>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单位名称：巴中市巴州区机关事务服务中心</w:t>
            </w:r>
          </w:p>
        </w:tc>
        <w:tc>
          <w:tcPr>
            <w:tcW w:w="95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1534" w:type="dxa"/>
            <w:gridSpan w:val="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2023年度</w:t>
            </w:r>
          </w:p>
        </w:tc>
        <w:tc>
          <w:tcPr>
            <w:tcW w:w="442"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441"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1126"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1470" w:type="dxa"/>
            <w:gridSpan w:val="3"/>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支出功能分类科目编码</w:t>
            </w:r>
          </w:p>
        </w:tc>
        <w:tc>
          <w:tcPr>
            <w:tcW w:w="3797"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950"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本年支出合计</w:t>
            </w: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442"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上缴上级支出</w:t>
            </w: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经营支出</w:t>
            </w:r>
          </w:p>
        </w:tc>
        <w:tc>
          <w:tcPr>
            <w:tcW w:w="1126"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1470" w:type="dxa"/>
            <w:gridSpan w:val="3"/>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3797"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442"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1126"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1470" w:type="dxa"/>
            <w:gridSpan w:val="3"/>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3797"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950"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67"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67"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42"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441"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126"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495"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525"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450"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797"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1,095.85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752.27</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343.58</w:t>
            </w:r>
          </w:p>
        </w:tc>
        <w:tc>
          <w:tcPr>
            <w:tcW w:w="4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一般公共服务支出</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1,059.51</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715.93</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343.58</w:t>
            </w: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20103</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政府办公厅（室）及相关机构事务</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1,059.51</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715.93</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343.58</w:t>
            </w: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2010301</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行政运行</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715.93</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715.93</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2010302</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一般行政管理事务</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2010303</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机关服务</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313.00</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313.00</w:t>
            </w: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2010399</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其他政府办公厅（室）及相关机构事务支出</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0.58</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0.58</w:t>
            </w: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社会保障和就业支出</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17.15</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17.15</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20805</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行政事业单位养老支出</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17.15</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17.15</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2080505</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机关事业单位基本养老保险缴费支出</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15.07</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15.07</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2080506</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机关事业单位职业年金缴费支出</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210</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卫生健康支出</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6.71</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6.71</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21011</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行政事业单位医疗</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6.71</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6.71</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2101101</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行政单位医疗</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3.74</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3.74</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2101102</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事业单位医疗</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2.37</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2.37</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2101103</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公务员医疗补助</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0.60</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0.60</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221</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住房保障支出</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12.47</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12.47</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22102</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住房改革支出</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12.47</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12.47</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4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2210201</w:t>
            </w:r>
          </w:p>
        </w:tc>
        <w:tc>
          <w:tcPr>
            <w:tcW w:w="3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住房公积金</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12.47</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12.47</w:t>
            </w: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9760" w:type="dxa"/>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注：本表以“万元”为金额单位（保留两位小数），反映部门/单位本年度各项支出情况。</w:t>
            </w:r>
          </w:p>
        </w:tc>
      </w:tr>
    </w:tbl>
    <w:p>
      <w:pPr>
        <w:pStyle w:val="4"/>
        <w:pageBreakBefore w:val="0"/>
        <w:numPr>
          <w:ilvl w:val="0"/>
          <w:numId w:val="0"/>
        </w:numPr>
        <w:kinsoku/>
        <w:wordWrap/>
        <w:overflowPunct/>
        <w:topLinePunct w:val="0"/>
        <w:bidi w:val="0"/>
        <w:spacing w:line="560" w:lineRule="exact"/>
        <w:ind w:leftChars="0"/>
        <w:jc w:val="both"/>
        <w:textAlignment w:val="auto"/>
        <w:rPr>
          <w:rStyle w:val="28"/>
          <w:rFonts w:hint="eastAsia" w:ascii="仿宋" w:hAnsi="仿宋" w:eastAsia="仿宋"/>
          <w:b/>
          <w:bCs w:val="0"/>
        </w:rPr>
        <w:sectPr>
          <w:headerReference r:id="rId17" w:type="first"/>
          <w:footerReference r:id="rId19" w:type="first"/>
          <w:headerReference r:id="rId16" w:type="default"/>
          <w:footerReference r:id="rId18" w:type="default"/>
          <w:pgSz w:w="11906" w:h="16838"/>
          <w:pgMar w:top="1440" w:right="692" w:bottom="1440" w:left="1899" w:header="851" w:footer="992" w:gutter="0"/>
          <w:pgNumType w:fmt="decimal" w:start="20"/>
          <w:cols w:space="0" w:num="1"/>
          <w:rtlGutter w:val="0"/>
          <w:docGrid w:type="lines" w:linePitch="321" w:charSpace="0"/>
        </w:sectPr>
      </w:pPr>
      <w:bookmarkStart w:id="56" w:name="_Toc15396622"/>
    </w:p>
    <w:p>
      <w:pPr>
        <w:pStyle w:val="4"/>
        <w:pageBreakBefore w:val="0"/>
        <w:numPr>
          <w:ilvl w:val="0"/>
          <w:numId w:val="1"/>
        </w:numPr>
        <w:kinsoku/>
        <w:wordWrap/>
        <w:overflowPunct/>
        <w:topLinePunct w:val="0"/>
        <w:bidi w:val="0"/>
        <w:spacing w:line="560" w:lineRule="exact"/>
        <w:ind w:left="210" w:leftChars="0" w:firstLine="0" w:firstLineChars="0"/>
        <w:jc w:val="center"/>
        <w:textAlignment w:val="auto"/>
        <w:rPr>
          <w:rStyle w:val="28"/>
          <w:rFonts w:hint="eastAsia" w:ascii="仿宋" w:hAnsi="仿宋" w:eastAsia="仿宋"/>
          <w:b/>
          <w:bCs w:val="0"/>
        </w:rPr>
      </w:pPr>
      <w:r>
        <w:rPr>
          <w:rFonts w:hint="eastAsia" w:ascii="仿宋" w:hAnsi="仿宋" w:eastAsia="仿宋"/>
          <w:b/>
          <w:bCs w:val="0"/>
        </w:rPr>
        <w:t>财</w:t>
      </w:r>
      <w:r>
        <w:rPr>
          <w:rStyle w:val="28"/>
          <w:rFonts w:hint="eastAsia" w:ascii="仿宋" w:hAnsi="仿宋" w:eastAsia="仿宋"/>
          <w:b/>
          <w:bCs w:val="0"/>
        </w:rPr>
        <w:t>政拨款收入支出决算总表</w:t>
      </w:r>
      <w:bookmarkEnd w:id="56"/>
    </w:p>
    <w:tbl>
      <w:tblPr>
        <w:tblStyle w:val="14"/>
        <w:tblpPr w:leftFromText="180" w:rightFromText="180" w:vertAnchor="text" w:horzAnchor="page" w:tblpX="1592" w:tblpY="177"/>
        <w:tblOverlap w:val="never"/>
        <w:tblW w:w="13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50"/>
        <w:gridCol w:w="525"/>
        <w:gridCol w:w="1110"/>
        <w:gridCol w:w="2415"/>
        <w:gridCol w:w="645"/>
        <w:gridCol w:w="945"/>
        <w:gridCol w:w="1815"/>
        <w:gridCol w:w="1995"/>
        <w:gridCol w:w="22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22"/>
                <w:szCs w:val="22"/>
                <w:u w:val="none"/>
              </w:rPr>
            </w:pPr>
          </w:p>
        </w:tc>
        <w:tc>
          <w:tcPr>
            <w:tcW w:w="525"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22"/>
                <w:szCs w:val="22"/>
                <w:u w:val="none"/>
              </w:rPr>
            </w:pPr>
          </w:p>
        </w:tc>
        <w:tc>
          <w:tcPr>
            <w:tcW w:w="1110"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22"/>
                <w:szCs w:val="22"/>
                <w:u w:val="none"/>
              </w:rPr>
            </w:pPr>
          </w:p>
        </w:tc>
        <w:tc>
          <w:tcPr>
            <w:tcW w:w="2415"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22"/>
                <w:szCs w:val="22"/>
                <w:u w:val="none"/>
              </w:rPr>
            </w:pPr>
          </w:p>
        </w:tc>
        <w:tc>
          <w:tcPr>
            <w:tcW w:w="645"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22"/>
                <w:szCs w:val="22"/>
                <w:u w:val="none"/>
              </w:rPr>
            </w:pPr>
          </w:p>
        </w:tc>
        <w:tc>
          <w:tcPr>
            <w:tcW w:w="945"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22"/>
                <w:szCs w:val="22"/>
                <w:u w:val="none"/>
              </w:rPr>
            </w:pPr>
          </w:p>
        </w:tc>
        <w:tc>
          <w:tcPr>
            <w:tcW w:w="1815"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22"/>
                <w:szCs w:val="22"/>
                <w:u w:val="none"/>
              </w:rPr>
            </w:pPr>
          </w:p>
        </w:tc>
        <w:tc>
          <w:tcPr>
            <w:tcW w:w="4290" w:type="dxa"/>
            <w:gridSpan w:val="2"/>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7890" w:type="dxa"/>
            <w:gridSpan w:val="6"/>
            <w:tcBorders>
              <w:top w:val="nil"/>
              <w:left w:val="nil"/>
              <w:bottom w:val="nil"/>
              <w:right w:val="nil"/>
            </w:tcBorders>
            <w:shd w:val="clear" w:color="auto" w:fill="auto"/>
            <w:noWrap/>
            <w:vAlign w:val="top"/>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单位名称：巴中市巴州区机关事务服务中心</w:t>
            </w: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bottom"/>
              <w:rPr>
                <w:rFonts w:hint="eastAsia" w:ascii="宋体" w:hAnsi="宋体" w:eastAsia="宋体" w:cs="宋体"/>
                <w:i w:val="0"/>
                <w:iCs w:val="0"/>
                <w:color w:val="000000"/>
                <w:sz w:val="20"/>
                <w:szCs w:val="20"/>
                <w:u w:val="none"/>
              </w:rPr>
            </w:pPr>
          </w:p>
        </w:tc>
        <w:tc>
          <w:tcPr>
            <w:tcW w:w="1815" w:type="dxa"/>
            <w:tcBorders>
              <w:top w:val="nil"/>
              <w:left w:val="nil"/>
              <w:bottom w:val="nil"/>
              <w:right w:val="nil"/>
            </w:tcBorders>
            <w:shd w:val="clear" w:color="auto" w:fill="auto"/>
            <w:noWrap/>
            <w:vAlign w:val="top"/>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20"/>
                <w:szCs w:val="20"/>
                <w:u w:val="none"/>
              </w:rPr>
            </w:pPr>
          </w:p>
        </w:tc>
        <w:tc>
          <w:tcPr>
            <w:tcW w:w="1995" w:type="dxa"/>
            <w:tcBorders>
              <w:top w:val="nil"/>
              <w:left w:val="nil"/>
              <w:bottom w:val="nil"/>
              <w:right w:val="nil"/>
            </w:tcBorders>
            <w:shd w:val="clear" w:color="auto" w:fill="auto"/>
            <w:noWrap/>
            <w:vAlign w:val="top"/>
          </w:tcPr>
          <w:p>
            <w:pPr>
              <w:keepNext w:val="0"/>
              <w:keepLines w:val="0"/>
              <w:pageBreakBefore w:val="0"/>
              <w:widowControl/>
              <w:kinsoku/>
              <w:wordWrap/>
              <w:overflowPunct/>
              <w:topLinePunct w:val="0"/>
              <w:autoSpaceDE/>
              <w:autoSpaceDN/>
              <w:bidi w:val="0"/>
              <w:adjustRightInd/>
              <w:snapToGrid/>
              <w:spacing w:line="200" w:lineRule="exact"/>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2023年度</w:t>
            </w:r>
          </w:p>
        </w:tc>
        <w:tc>
          <w:tcPr>
            <w:tcW w:w="2295" w:type="dxa"/>
            <w:tcBorders>
              <w:top w:val="nil"/>
              <w:left w:val="nil"/>
              <w:bottom w:val="nil"/>
              <w:right w:val="nil"/>
            </w:tcBorders>
            <w:shd w:val="clear" w:color="auto" w:fill="auto"/>
            <w:noWrap/>
            <w:vAlign w:val="top"/>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3885" w:type="dxa"/>
            <w:gridSpan w:val="3"/>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10110" w:type="dxa"/>
            <w:gridSpan w:val="6"/>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项目</w:t>
            </w:r>
          </w:p>
        </w:tc>
        <w:tc>
          <w:tcPr>
            <w:tcW w:w="525"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行次</w:t>
            </w:r>
          </w:p>
        </w:tc>
        <w:tc>
          <w:tcPr>
            <w:tcW w:w="1110"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金额</w:t>
            </w:r>
          </w:p>
        </w:tc>
        <w:tc>
          <w:tcPr>
            <w:tcW w:w="2415"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项目</w:t>
            </w:r>
          </w:p>
        </w:tc>
        <w:tc>
          <w:tcPr>
            <w:tcW w:w="645"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行次</w:t>
            </w:r>
          </w:p>
        </w:tc>
        <w:tc>
          <w:tcPr>
            <w:tcW w:w="945"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合计</w:t>
            </w:r>
          </w:p>
        </w:tc>
        <w:tc>
          <w:tcPr>
            <w:tcW w:w="1815"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一般公共预算财政拨款</w:t>
            </w:r>
          </w:p>
        </w:tc>
        <w:tc>
          <w:tcPr>
            <w:tcW w:w="1995"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政府性基金预算财政拨款</w:t>
            </w:r>
          </w:p>
        </w:tc>
        <w:tc>
          <w:tcPr>
            <w:tcW w:w="2295"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栏次</w:t>
            </w:r>
          </w:p>
        </w:tc>
        <w:tc>
          <w:tcPr>
            <w:tcW w:w="525"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w:t>
            </w:r>
          </w:p>
        </w:tc>
        <w:tc>
          <w:tcPr>
            <w:tcW w:w="1110"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栏次</w:t>
            </w:r>
          </w:p>
        </w:tc>
        <w:tc>
          <w:tcPr>
            <w:tcW w:w="645"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w:t>
            </w:r>
          </w:p>
        </w:tc>
        <w:tc>
          <w:tcPr>
            <w:tcW w:w="945"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815"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w:t>
            </w:r>
          </w:p>
        </w:tc>
        <w:tc>
          <w:tcPr>
            <w:tcW w:w="1995"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2295"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一、一般公共预算财政拨款</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1,095.85</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一、一般公共服务支出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33</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1,059.51</w:t>
            </w: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1,059.51</w:t>
            </w: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二、政府性基金预算财政拨款</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二、外交支出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三、国有资本经营预算财政拨款</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三、国防支出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四、公共安全支出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五、教育支出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六、科学技术支出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七、文化旅游体育与传媒支出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八、社会保障和就业支出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17.15</w:t>
            </w: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17.15</w:t>
            </w: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九、卫生健康支出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6.71</w:t>
            </w: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6.71</w:t>
            </w: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十、节能环保支出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十一、城乡社区支出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十二、农林水支出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44</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十三、交通运输支出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十四、资源勘探工业信息等支出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十五、商业服务业等支出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十六、金融支出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48</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十七、援助其他地区支出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49</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十八、自然资源海洋气象等支出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50</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十九、住房保障支出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12.47</w:t>
            </w: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12.47</w:t>
            </w: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二十、粮油物资储备支出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52</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二十一、国有资本经营预算支出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二十二、灾害防治及应急管理支出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二十三、其他支出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二十四、债务还本支出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56</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二十五、债务付息支出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二十六、抗疫特别国债安排的支出</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本年收入合计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1,095.85</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本年支出合计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1,095.85</w:t>
            </w: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1,095.85</w:t>
            </w: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年初财政拨款结转和结余</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年末财政拨款结转和结余</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60</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一、一般公共预算财政拨款</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二、政府性基金预算财政拨款</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62</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三、国有资本经营预算财政拨款</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5"/>
                <w:szCs w:val="15"/>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exact"/>
        </w:trPr>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总计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w:t>
            </w:r>
          </w:p>
        </w:tc>
        <w:tc>
          <w:tcPr>
            <w:tcW w:w="1110"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1,095.85</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总计</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w:t>
            </w:r>
          </w:p>
        </w:tc>
        <w:tc>
          <w:tcPr>
            <w:tcW w:w="94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1,095.85</w:t>
            </w:r>
          </w:p>
        </w:tc>
        <w:tc>
          <w:tcPr>
            <w:tcW w:w="181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1,095.85</w:t>
            </w:r>
          </w:p>
        </w:tc>
        <w:tc>
          <w:tcPr>
            <w:tcW w:w="19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c>
          <w:tcPr>
            <w:tcW w:w="2295"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exact"/>
        </w:trPr>
        <w:tc>
          <w:tcPr>
            <w:tcW w:w="13995" w:type="dxa"/>
            <w:gridSpan w:val="9"/>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注：本表以“万元”为金额单位（保留两位小数），反映部门/单位本年度一般公共预算财政拨款、政府性基金预算财政拨款和国有资本经营预算财政拨款的总收支和年末结转结余情况。</w:t>
            </w:r>
          </w:p>
        </w:tc>
      </w:tr>
    </w:tbl>
    <w:p>
      <w:pPr>
        <w:pStyle w:val="4"/>
        <w:pageBreakBefore w:val="0"/>
        <w:numPr>
          <w:ilvl w:val="0"/>
          <w:numId w:val="0"/>
        </w:numPr>
        <w:kinsoku/>
        <w:wordWrap/>
        <w:overflowPunct/>
        <w:topLinePunct w:val="0"/>
        <w:bidi w:val="0"/>
        <w:spacing w:line="560" w:lineRule="exact"/>
        <w:jc w:val="center"/>
        <w:textAlignment w:val="auto"/>
        <w:rPr>
          <w:rStyle w:val="28"/>
          <w:rFonts w:hint="eastAsia" w:ascii="仿宋" w:hAnsi="仿宋" w:eastAsia="仿宋"/>
          <w:b/>
          <w:bCs w:val="0"/>
        </w:rPr>
      </w:pPr>
      <w:bookmarkStart w:id="57" w:name="_Toc15396623"/>
      <w:r>
        <w:rPr>
          <w:rFonts w:hint="eastAsia" w:ascii="仿宋" w:hAnsi="仿宋" w:eastAsia="仿宋"/>
          <w:b/>
          <w:bCs w:val="0"/>
          <w:lang w:eastAsia="zh-CN"/>
        </w:rPr>
        <w:t>五、</w:t>
      </w:r>
      <w:r>
        <w:rPr>
          <w:rFonts w:hint="eastAsia" w:ascii="仿宋" w:hAnsi="仿宋" w:eastAsia="仿宋"/>
          <w:b/>
          <w:bCs w:val="0"/>
        </w:rPr>
        <w:t>财</w:t>
      </w:r>
      <w:r>
        <w:rPr>
          <w:rStyle w:val="28"/>
          <w:rFonts w:hint="eastAsia" w:ascii="仿宋" w:hAnsi="仿宋" w:eastAsia="仿宋"/>
          <w:b/>
          <w:bCs w:val="0"/>
        </w:rPr>
        <w:t>政拨款支出决算明细表</w:t>
      </w:r>
      <w:bookmarkEnd w:id="57"/>
      <w:bookmarkStart w:id="58" w:name="_Toc15396624"/>
    </w:p>
    <w:tbl>
      <w:tblPr>
        <w:tblStyle w:val="14"/>
        <w:tblW w:w="0" w:type="auto"/>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05"/>
        <w:gridCol w:w="3996"/>
        <w:gridCol w:w="555"/>
        <w:gridCol w:w="1056"/>
        <w:gridCol w:w="1056"/>
        <w:gridCol w:w="895"/>
        <w:gridCol w:w="895"/>
        <w:gridCol w:w="548"/>
        <w:gridCol w:w="866"/>
        <w:gridCol w:w="584"/>
        <w:gridCol w:w="475"/>
        <w:gridCol w:w="571"/>
        <w:gridCol w:w="15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0" w:type="auto"/>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0" w:type="auto"/>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0" w:type="auto"/>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0" w:type="auto"/>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0" w:type="auto"/>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0" w:type="auto"/>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51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81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0" w:type="auto"/>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0" w:type="auto"/>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0" w:type="auto"/>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财决公开05表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单位名称：巴中市巴州区机关事务服务中心</w:t>
            </w:r>
          </w:p>
        </w:tc>
        <w:tc>
          <w:tcPr>
            <w:tcW w:w="0" w:type="auto"/>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2156" w:type="dxa"/>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bottom"/>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2023年度</w:t>
            </w:r>
          </w:p>
        </w:tc>
        <w:tc>
          <w:tcPr>
            <w:tcW w:w="81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0" w:type="auto"/>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0" w:type="auto"/>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0" w:type="auto"/>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bottom"/>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项目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行次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合计</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一般公共预算财政拨款</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政府性基金预算财政拨款</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经济分类科目编码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科目名称</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仿宋" w:hAnsi="仿宋" w:eastAsia="仿宋" w:cs="仿宋"/>
                <w:b/>
                <w:bCs/>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仿宋" w:hAnsi="仿宋" w:eastAsia="仿宋" w:cs="仿宋"/>
                <w:b/>
                <w:bCs/>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基本支出</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项目支出</w:t>
            </w:r>
          </w:p>
        </w:tc>
        <w:tc>
          <w:tcPr>
            <w:tcW w:w="518"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小计</w:t>
            </w:r>
          </w:p>
        </w:tc>
        <w:tc>
          <w:tcPr>
            <w:tcW w:w="819"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基本支出</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项目支出</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基本支出</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1,095.85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1,095.85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752.27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343.58</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工资福利支出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362.72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362.72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362.72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基本工资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39.40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39.40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39.40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津贴补贴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13.96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13.96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13.96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奖金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39.09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39.09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39.09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伙食补助费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绩效工资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12.29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12.29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12.29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机关事业单位基本养老保险费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15.07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15.07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15.07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职业年金缴费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职工基本医疗保险缴费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6.12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6.12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6.12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30111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公务员医疗补助缴费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0.60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0.60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0.60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其他社会保障缴费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0.59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0.59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0.59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住房公积金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12.47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12.47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12.47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医疗费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30199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其他工资福利支出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221.05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221.05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221.05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商品和服务支出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692.54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692.54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389.23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303.30</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办公费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10.53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10.53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7.42</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印刷费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9.84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9.84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0.39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9.45</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咨询费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手续费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0.20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0.20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0.10</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0.67</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邮电费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0.25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1.04</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取暖费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物业管理费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6.38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6.38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6.23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0.16</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差旅费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102.99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102.99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73.96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29.03</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因公出国（境）费用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维修（护）费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0.33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9.31</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租赁费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1.30</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会议费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0.77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0.77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0.77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培训费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0.30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0.30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0.30</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公务接待费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专用材料费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被装购置费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专用燃料费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劳务费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7.91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7.91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7.91</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委托业务费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工会经费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17.72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17.72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17.72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福利费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10.15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10.15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10.15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公务用车运行维护费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353.49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353.49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189.33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164.17</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其他交通费用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税金及附加费用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30299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其他商品和服务支出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154.60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154.60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82.14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72.46</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对个人和家庭的补助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20.32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20.32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0.32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离休费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退休费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退职（役）费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30304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抚恤金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30305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生活补助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0.25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0.25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0.25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30306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救济费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30307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医疗费补助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30308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助学金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30309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奖励金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0.07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0.07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0.07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30310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个人农业生产补贴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30311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代缴社会保险费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30399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其他个人和家庭的补助支出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债务利息及费用支出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30701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国内债务付息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30702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国外债务付息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30703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国内债务发行费用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30704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国外债务发行费用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资本性支出（基本建设）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30901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房屋建筑物购建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30902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办公设备购置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30903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专用设备购置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30905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基础设施建设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30906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大型修缮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30907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信息网络及软件购置更新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30908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物资储备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30913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公务用车购置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30919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其他交通工具购置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30921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文物和陈列品购置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30922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无形资产购置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30999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其他基本建设支出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资本性支出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20.28</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房屋建筑物购建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办公设备购置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0.71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0.71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0.71</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专用设备购置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基础设施建设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大型修缮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信息网络及软件购置更新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物资储备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土地补偿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安置补助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地上附着物和青苗补偿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拆迁补偿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公务用车购置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其他交通工具购置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文物和陈列品购置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无形资产购置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31099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其他资本性支出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19.57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19.57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19.57</w:t>
            </w: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对企业补助（基本建设）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资本金注入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31199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其他对企业补助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对企业补助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资本金注入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31203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政府投资基金股权投资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31204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费用补贴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31205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利息补贴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31299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其他对企业补助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对社会保障基金补助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对社会保险基金补助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补充全国社会保障基金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31304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对机关事业单位职业年金的补助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39907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国家赔偿费用支出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39908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对民间非营利组织和群众性自治组织补贴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39909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经常性赠与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资本性赠与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exac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39999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18"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9"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bl>
    <w:p>
      <w:pPr>
        <w:pStyle w:val="4"/>
        <w:pageBreakBefore w:val="0"/>
        <w:numPr>
          <w:ilvl w:val="0"/>
          <w:numId w:val="0"/>
        </w:numPr>
        <w:kinsoku/>
        <w:wordWrap/>
        <w:overflowPunct/>
        <w:topLinePunct w:val="0"/>
        <w:bidi w:val="0"/>
        <w:spacing w:line="560" w:lineRule="exact"/>
        <w:ind w:leftChars="0"/>
        <w:jc w:val="center"/>
        <w:textAlignment w:val="auto"/>
        <w:rPr>
          <w:rFonts w:hint="eastAsia" w:ascii="仿宋" w:hAnsi="仿宋" w:eastAsia="仿宋"/>
          <w:b/>
          <w:bCs w:val="0"/>
          <w:lang w:eastAsia="zh-CN"/>
        </w:rPr>
        <w:sectPr>
          <w:pgSz w:w="16838" w:h="11906" w:orient="landscape"/>
          <w:pgMar w:top="1134" w:right="1440" w:bottom="567" w:left="1440" w:header="851" w:footer="992" w:gutter="0"/>
          <w:pgNumType w:fmt="decimal"/>
          <w:cols w:space="0" w:num="1"/>
          <w:rtlGutter w:val="0"/>
          <w:docGrid w:type="lines" w:linePitch="321" w:charSpace="0"/>
        </w:sectPr>
      </w:pPr>
    </w:p>
    <w:p>
      <w:pPr>
        <w:pStyle w:val="4"/>
        <w:pageBreakBefore w:val="0"/>
        <w:numPr>
          <w:ilvl w:val="0"/>
          <w:numId w:val="0"/>
        </w:numPr>
        <w:kinsoku/>
        <w:wordWrap/>
        <w:overflowPunct/>
        <w:topLinePunct w:val="0"/>
        <w:bidi w:val="0"/>
        <w:spacing w:line="560" w:lineRule="exact"/>
        <w:ind w:leftChars="0"/>
        <w:jc w:val="center"/>
        <w:textAlignment w:val="auto"/>
      </w:pPr>
      <w:r>
        <w:rPr>
          <w:rFonts w:hint="eastAsia" w:ascii="仿宋" w:hAnsi="仿宋" w:eastAsia="仿宋"/>
          <w:b/>
          <w:bCs w:val="0"/>
          <w:lang w:eastAsia="zh-CN"/>
        </w:rPr>
        <w:t>六、</w:t>
      </w:r>
      <w:r>
        <w:rPr>
          <w:rFonts w:hint="eastAsia" w:ascii="仿宋" w:hAnsi="仿宋" w:eastAsia="仿宋"/>
          <w:b/>
          <w:bCs w:val="0"/>
        </w:rPr>
        <w:t>一</w:t>
      </w:r>
      <w:r>
        <w:rPr>
          <w:rStyle w:val="28"/>
          <w:rFonts w:hint="eastAsia" w:ascii="仿宋" w:hAnsi="仿宋" w:eastAsia="仿宋"/>
          <w:b/>
          <w:bCs w:val="0"/>
        </w:rPr>
        <w:t>般公共预算财政拨款支出决算表</w:t>
      </w:r>
      <w:bookmarkEnd w:id="58"/>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3"/>
        <w:gridCol w:w="573"/>
        <w:gridCol w:w="584"/>
        <w:gridCol w:w="4215"/>
        <w:gridCol w:w="2736"/>
        <w:gridCol w:w="2738"/>
        <w:gridCol w:w="27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02"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2"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8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70"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财决公开06表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097" w:type="pct"/>
            <w:gridSpan w:val="4"/>
            <w:tcBorders>
              <w:top w:val="nil"/>
              <w:left w:val="nil"/>
              <w:bottom w:val="single" w:color="000000" w:sz="4" w:space="0"/>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单位名称：巴中市巴州区机关事务服务中心</w:t>
            </w:r>
          </w:p>
        </w:tc>
        <w:tc>
          <w:tcPr>
            <w:tcW w:w="965" w:type="pct"/>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2023年度</w:t>
            </w:r>
          </w:p>
        </w:tc>
        <w:tc>
          <w:tcPr>
            <w:tcW w:w="966" w:type="pct"/>
            <w:tcBorders>
              <w:top w:val="nil"/>
              <w:left w:val="nil"/>
              <w:bottom w:val="single" w:color="000000" w:sz="4" w:space="0"/>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970" w:type="pct"/>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610" w:type="pct"/>
            <w:gridSpan w:val="3"/>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支出功能分类科目编码</w:t>
            </w:r>
          </w:p>
        </w:tc>
        <w:tc>
          <w:tcPr>
            <w:tcW w:w="1486"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965"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966"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970"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610" w:type="pct"/>
            <w:gridSpan w:val="3"/>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1486"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965"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966"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970"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486"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965"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66"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70"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1486"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1,095.85</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752.27</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343.58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一般公共服务支出</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1,059.51</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715.93</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343.58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20103</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政府办公厅（室）及相关机构事务</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1,059.51</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715.93</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343.58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2010301</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行政运行</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715.93</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715.93</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2010302</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一般行政管理事务</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2010303</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机关服务</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313.00</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2010399</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其他政府办公厅（室）及相关机构事务支出</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0.58</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社会保障和就业支出</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17.15</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17.15</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20805</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行政事业单位养老支出</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17.15</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17.15</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2080505</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机关事业单位基本养老保险缴费支出</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15.07</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15.07</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2080506</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机关事业单位职业年金缴费支出</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210</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卫生健康支出</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6.71</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6.71</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21011</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行政事业单位医疗</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6.71</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6.71</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2101101</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行政单位医疗</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3.74</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3.74</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2101102</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事业单位医疗</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2.37</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2.37</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2101103</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公务员医疗补助</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0.60</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0.60</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221</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住房保障支出</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12.47</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12.47</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22102</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住房改革支出</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12.47</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12.47</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2210201</w:t>
            </w:r>
          </w:p>
        </w:tc>
        <w:tc>
          <w:tcPr>
            <w:tcW w:w="1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住房公积金</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12.47</w:t>
            </w:r>
          </w:p>
        </w:tc>
        <w:tc>
          <w:tcPr>
            <w:tcW w:w="9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12.47</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5000" w:type="pct"/>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注：本表以“万元”为金额单位（保留两位小数），反映部门/单位本年度一般公共预算财政拨款实际支出情况。</w:t>
            </w:r>
          </w:p>
        </w:tc>
      </w:tr>
    </w:tbl>
    <w:p>
      <w:pPr>
        <w:pStyle w:val="4"/>
        <w:pageBreakBefore w:val="0"/>
        <w:numPr>
          <w:ilvl w:val="0"/>
          <w:numId w:val="0"/>
        </w:numPr>
        <w:kinsoku/>
        <w:wordWrap/>
        <w:overflowPunct/>
        <w:topLinePunct w:val="0"/>
        <w:bidi w:val="0"/>
        <w:spacing w:line="560" w:lineRule="exact"/>
        <w:ind w:left="210" w:leftChars="0"/>
        <w:jc w:val="center"/>
        <w:textAlignment w:val="auto"/>
        <w:rPr>
          <w:rStyle w:val="28"/>
          <w:rFonts w:hint="eastAsia" w:ascii="仿宋" w:hAnsi="仿宋" w:eastAsia="仿宋"/>
          <w:b/>
          <w:bCs w:val="0"/>
        </w:rPr>
      </w:pPr>
      <w:bookmarkStart w:id="59" w:name="_Toc15396625"/>
      <w:r>
        <w:rPr>
          <w:rFonts w:hint="eastAsia" w:ascii="仿宋" w:hAnsi="仿宋" w:eastAsia="仿宋"/>
          <w:b/>
          <w:bCs w:val="0"/>
          <w:lang w:eastAsia="zh-CN"/>
        </w:rPr>
        <w:t>七、</w:t>
      </w:r>
      <w:r>
        <w:rPr>
          <w:rFonts w:hint="eastAsia" w:ascii="仿宋" w:hAnsi="仿宋" w:eastAsia="仿宋"/>
          <w:b/>
          <w:bCs w:val="0"/>
        </w:rPr>
        <w:t>一</w:t>
      </w:r>
      <w:r>
        <w:rPr>
          <w:rStyle w:val="28"/>
          <w:rFonts w:hint="eastAsia" w:ascii="仿宋" w:hAnsi="仿宋" w:eastAsia="仿宋"/>
          <w:b/>
          <w:bCs w:val="0"/>
        </w:rPr>
        <w:t>般公共预算财政拨款支出决算明细表</w:t>
      </w:r>
      <w:bookmarkEnd w:id="59"/>
    </w:p>
    <w:tbl>
      <w:tblPr>
        <w:tblStyle w:val="14"/>
        <w:tblW w:w="142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4"/>
        <w:gridCol w:w="224"/>
        <w:gridCol w:w="231"/>
        <w:gridCol w:w="114"/>
        <w:gridCol w:w="116"/>
        <w:gridCol w:w="229"/>
        <w:gridCol w:w="284"/>
        <w:gridCol w:w="284"/>
        <w:gridCol w:w="284"/>
        <w:gridCol w:w="284"/>
        <w:gridCol w:w="284"/>
        <w:gridCol w:w="284"/>
        <w:gridCol w:w="284"/>
        <w:gridCol w:w="284"/>
        <w:gridCol w:w="156"/>
        <w:gridCol w:w="102"/>
        <w:gridCol w:w="225"/>
        <w:gridCol w:w="225"/>
        <w:gridCol w:w="225"/>
        <w:gridCol w:w="225"/>
        <w:gridCol w:w="225"/>
        <w:gridCol w:w="225"/>
        <w:gridCol w:w="396"/>
        <w:gridCol w:w="238"/>
        <w:gridCol w:w="225"/>
        <w:gridCol w:w="154"/>
        <w:gridCol w:w="71"/>
        <w:gridCol w:w="233"/>
        <w:gridCol w:w="381"/>
        <w:gridCol w:w="184"/>
        <w:gridCol w:w="515"/>
        <w:gridCol w:w="238"/>
        <w:gridCol w:w="167"/>
        <w:gridCol w:w="58"/>
        <w:gridCol w:w="225"/>
        <w:gridCol w:w="225"/>
        <w:gridCol w:w="225"/>
        <w:gridCol w:w="242"/>
        <w:gridCol w:w="238"/>
        <w:gridCol w:w="225"/>
        <w:gridCol w:w="225"/>
        <w:gridCol w:w="102"/>
        <w:gridCol w:w="123"/>
        <w:gridCol w:w="225"/>
        <w:gridCol w:w="225"/>
        <w:gridCol w:w="285"/>
        <w:gridCol w:w="252"/>
        <w:gridCol w:w="238"/>
        <w:gridCol w:w="233"/>
        <w:gridCol w:w="225"/>
        <w:gridCol w:w="225"/>
        <w:gridCol w:w="225"/>
        <w:gridCol w:w="225"/>
        <w:gridCol w:w="225"/>
        <w:gridCol w:w="225"/>
        <w:gridCol w:w="225"/>
        <w:gridCol w:w="225"/>
        <w:gridCol w:w="226"/>
        <w:gridCol w:w="10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224"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4"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31"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30" w:type="dxa"/>
            <w:gridSpan w:val="2"/>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84"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84"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84"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84"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84"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84"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84"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84"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58" w:type="dxa"/>
            <w:gridSpan w:val="2"/>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396"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38"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gridSpan w:val="2"/>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3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565" w:type="dxa"/>
            <w:gridSpan w:val="2"/>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51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38"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gridSpan w:val="2"/>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42"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38"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gridSpan w:val="2"/>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8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52"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38"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3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1316" w:type="dxa"/>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财决公开07表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282" w:type="dxa"/>
            <w:gridSpan w:val="59"/>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单位名称：巴中市巴州区机关事务服务中心                                                                     2023年度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exact"/>
        </w:trPr>
        <w:tc>
          <w:tcPr>
            <w:tcW w:w="3566" w:type="dxa"/>
            <w:gridSpan w:val="15"/>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bookmarkStart w:id="60" w:name="_Toc15396626"/>
            <w:r>
              <w:rPr>
                <w:rFonts w:hint="eastAsia" w:ascii="宋体" w:hAnsi="宋体" w:eastAsia="宋体" w:cs="宋体"/>
                <w:i w:val="0"/>
                <w:iCs w:val="0"/>
                <w:color w:val="000000"/>
                <w:kern w:val="0"/>
                <w:sz w:val="15"/>
                <w:szCs w:val="15"/>
                <w:u w:val="none"/>
                <w:lang w:val="en-US" w:eastAsia="zh-CN" w:bidi="ar"/>
              </w:rPr>
              <w:t>项目</w:t>
            </w:r>
          </w:p>
        </w:tc>
        <w:tc>
          <w:tcPr>
            <w:tcW w:w="1002" w:type="dxa"/>
            <w:gridSpan w:val="5"/>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合计</w:t>
            </w:r>
          </w:p>
        </w:tc>
        <w:tc>
          <w:tcPr>
            <w:tcW w:w="9714" w:type="dxa"/>
            <w:gridSpan w:val="39"/>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工资福利支出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exact"/>
        </w:trPr>
        <w:tc>
          <w:tcPr>
            <w:tcW w:w="1138" w:type="dxa"/>
            <w:gridSpan w:val="6"/>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支出功能分类科目编码</w:t>
            </w:r>
          </w:p>
        </w:tc>
        <w:tc>
          <w:tcPr>
            <w:tcW w:w="2428" w:type="dxa"/>
            <w:gridSpan w:val="9"/>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科目名称</w:t>
            </w:r>
          </w:p>
        </w:tc>
        <w:tc>
          <w:tcPr>
            <w:tcW w:w="1002" w:type="dxa"/>
            <w:gridSpan w:val="5"/>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846"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小计</w:t>
            </w:r>
          </w:p>
        </w:tc>
        <w:tc>
          <w:tcPr>
            <w:tcW w:w="617"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基本工资</w:t>
            </w:r>
          </w:p>
        </w:tc>
        <w:tc>
          <w:tcPr>
            <w:tcW w:w="685"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津贴补贴</w:t>
            </w:r>
          </w:p>
        </w:tc>
        <w:tc>
          <w:tcPr>
            <w:tcW w:w="699" w:type="dxa"/>
            <w:gridSpan w:val="2"/>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奖金</w:t>
            </w:r>
          </w:p>
        </w:tc>
        <w:tc>
          <w:tcPr>
            <w:tcW w:w="405" w:type="dxa"/>
            <w:gridSpan w:val="2"/>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伙食补助费</w:t>
            </w:r>
          </w:p>
        </w:tc>
        <w:tc>
          <w:tcPr>
            <w:tcW w:w="975" w:type="dxa"/>
            <w:gridSpan w:val="5"/>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绩效工资</w:t>
            </w:r>
          </w:p>
        </w:tc>
        <w:tc>
          <w:tcPr>
            <w:tcW w:w="790" w:type="dxa"/>
            <w:gridSpan w:val="4"/>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机关事业单位基本养老保险缴费</w:t>
            </w:r>
          </w:p>
        </w:tc>
        <w:tc>
          <w:tcPr>
            <w:tcW w:w="573"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职业年金缴费</w:t>
            </w:r>
          </w:p>
        </w:tc>
        <w:tc>
          <w:tcPr>
            <w:tcW w:w="537" w:type="dxa"/>
            <w:gridSpan w:val="2"/>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职工基本医疗保险缴费</w:t>
            </w:r>
          </w:p>
        </w:tc>
        <w:tc>
          <w:tcPr>
            <w:tcW w:w="696"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公务员医疗补助缴费</w:t>
            </w:r>
          </w:p>
        </w:tc>
        <w:tc>
          <w:tcPr>
            <w:tcW w:w="675"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其他社会保障缴费</w:t>
            </w:r>
          </w:p>
        </w:tc>
        <w:tc>
          <w:tcPr>
            <w:tcW w:w="675"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住房公积金</w:t>
            </w:r>
          </w:p>
        </w:tc>
        <w:tc>
          <w:tcPr>
            <w:tcW w:w="451" w:type="dxa"/>
            <w:gridSpan w:val="2"/>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医疗费</w:t>
            </w:r>
          </w:p>
        </w:tc>
        <w:tc>
          <w:tcPr>
            <w:tcW w:w="1090" w:type="dxa"/>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其他工资福利支出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exact"/>
        </w:trPr>
        <w:tc>
          <w:tcPr>
            <w:tcW w:w="1138" w:type="dxa"/>
            <w:gridSpan w:val="6"/>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2428" w:type="dxa"/>
            <w:gridSpan w:val="9"/>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002" w:type="dxa"/>
            <w:gridSpan w:val="5"/>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846"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17"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85"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9"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05"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975" w:type="dxa"/>
            <w:gridSpan w:val="5"/>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90" w:type="dxa"/>
            <w:gridSpan w:val="4"/>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73"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37"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6"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51"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090" w:type="dxa"/>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448" w:type="dxa"/>
            <w:gridSpan w:val="2"/>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类</w:t>
            </w:r>
          </w:p>
        </w:tc>
        <w:tc>
          <w:tcPr>
            <w:tcW w:w="345" w:type="dxa"/>
            <w:gridSpan w:val="2"/>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款</w:t>
            </w:r>
          </w:p>
        </w:tc>
        <w:tc>
          <w:tcPr>
            <w:tcW w:w="345" w:type="dxa"/>
            <w:gridSpan w:val="2"/>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项</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栏次</w:t>
            </w:r>
          </w:p>
        </w:tc>
        <w:tc>
          <w:tcPr>
            <w:tcW w:w="1002" w:type="dxa"/>
            <w:gridSpan w:val="5"/>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846"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617"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w:t>
            </w:r>
          </w:p>
        </w:tc>
        <w:tc>
          <w:tcPr>
            <w:tcW w:w="68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699"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405"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975" w:type="dxa"/>
            <w:gridSpan w:val="5"/>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w:t>
            </w:r>
          </w:p>
        </w:tc>
        <w:tc>
          <w:tcPr>
            <w:tcW w:w="790" w:type="dxa"/>
            <w:gridSpan w:val="4"/>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w:t>
            </w:r>
          </w:p>
        </w:tc>
        <w:tc>
          <w:tcPr>
            <w:tcW w:w="573"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w:t>
            </w:r>
          </w:p>
        </w:tc>
        <w:tc>
          <w:tcPr>
            <w:tcW w:w="537"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696"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w:t>
            </w:r>
          </w:p>
        </w:tc>
        <w:tc>
          <w:tcPr>
            <w:tcW w:w="67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67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w:t>
            </w:r>
          </w:p>
        </w:tc>
        <w:tc>
          <w:tcPr>
            <w:tcW w:w="451" w:type="dxa"/>
            <w:gridSpan w:val="2"/>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w:t>
            </w:r>
          </w:p>
        </w:tc>
        <w:tc>
          <w:tcPr>
            <w:tcW w:w="1090"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448" w:type="dxa"/>
            <w:gridSpan w:val="2"/>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345" w:type="dxa"/>
            <w:gridSpan w:val="2"/>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345" w:type="dxa"/>
            <w:gridSpan w:val="2"/>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合计</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1,095.85</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362.72</w:t>
            </w: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39.40</w:t>
            </w: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13.96</w:t>
            </w: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39.09</w:t>
            </w: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12.29</w:t>
            </w: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15.07</w:t>
            </w: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2.08</w:t>
            </w: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0.60</w:t>
            </w: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0.59</w:t>
            </w: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12.47</w:t>
            </w: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201</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一般公共服务支出</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1,059.51</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326.38</w:t>
            </w: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39.40</w:t>
            </w: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13.96</w:t>
            </w: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39.09</w:t>
            </w: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12.29</w:t>
            </w: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0.59</w:t>
            </w: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221.05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20103</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政府办公厅（室）及相关机构事务</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1,059.51</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326.38</w:t>
            </w: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39.40</w:t>
            </w: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13.96</w:t>
            </w: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39.09</w:t>
            </w: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12.29</w:t>
            </w: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0.59</w:t>
            </w: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221.05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2010301</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行政运行</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715.93</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326.38</w:t>
            </w: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39.40</w:t>
            </w: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13.96</w:t>
            </w: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39.09</w:t>
            </w: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12.29</w:t>
            </w: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0.59</w:t>
            </w: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2010302</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一般行政管理事务</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30.00</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2010303</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机关服务</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313.00</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2010399</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其他政府办公厅（室）及相关机构事务支出</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0.58</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208</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社会保障和就业支出</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17.15</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17.15</w:t>
            </w: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15.07</w:t>
            </w: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2.08</w:t>
            </w: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20805</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行政事业单位养老支出</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17.15</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17.15</w:t>
            </w: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15.07</w:t>
            </w: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2.08</w:t>
            </w: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2080505</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机关事业单位基本养老保险缴费支出</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15.07</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15.07</w:t>
            </w: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15.07</w:t>
            </w: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2080506</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机关事业单位职业年金缴费支出</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2.08</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2.08</w:t>
            </w: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2.08</w:t>
            </w: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210</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卫生健康支出</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6.71</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6.71</w:t>
            </w: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6.12</w:t>
            </w: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0.60</w:t>
            </w: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21011</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行政事业单位医疗</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6.71</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6.71</w:t>
            </w: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6.12</w:t>
            </w: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0.60</w:t>
            </w: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2101101</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行政单位医疗</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3.74</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3.74</w:t>
            </w: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3.74</w:t>
            </w: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2101102</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事业单位医疗</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2.37</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2.37</w:t>
            </w: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2.37</w:t>
            </w: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2101103</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公务员医疗补助</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0.60</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0.60</w:t>
            </w: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0.60</w:t>
            </w: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221</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住房保障支出</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12.47</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12.47</w:t>
            </w: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12.47</w:t>
            </w: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22102</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住房改革支出</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12.47</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12.47</w:t>
            </w: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12.47</w:t>
            </w: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exact"/>
        </w:trPr>
        <w:tc>
          <w:tcPr>
            <w:tcW w:w="11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2210201</w:t>
            </w:r>
          </w:p>
        </w:tc>
        <w:tc>
          <w:tcPr>
            <w:tcW w:w="242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住房公积金</w:t>
            </w:r>
          </w:p>
        </w:tc>
        <w:tc>
          <w:tcPr>
            <w:tcW w:w="100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12.47</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12.47</w:t>
            </w:r>
          </w:p>
        </w:tc>
        <w:tc>
          <w:tcPr>
            <w:tcW w:w="6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9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12.47</w:t>
            </w: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r>
    </w:tbl>
    <w:p>
      <w:pPr>
        <w:pStyle w:val="2"/>
        <w:rPr>
          <w:rFonts w:hint="eastAsia"/>
          <w:lang w:eastAsia="zh-CN"/>
        </w:rPr>
      </w:pPr>
      <w:r>
        <w:drawing>
          <wp:inline distT="0" distB="0" distL="114300" distR="114300">
            <wp:extent cx="8887460" cy="5728335"/>
            <wp:effectExtent l="0" t="0" r="8890" b="571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30"/>
                    <a:stretch>
                      <a:fillRect/>
                    </a:stretch>
                  </pic:blipFill>
                  <pic:spPr>
                    <a:xfrm>
                      <a:off x="0" y="0"/>
                      <a:ext cx="8887460" cy="5728335"/>
                    </a:xfrm>
                    <a:prstGeom prst="rect">
                      <a:avLst/>
                    </a:prstGeom>
                    <a:noFill/>
                    <a:ln w="9525">
                      <a:noFill/>
                    </a:ln>
                  </pic:spPr>
                </pic:pic>
              </a:graphicData>
            </a:graphic>
          </wp:inline>
        </w:drawing>
      </w:r>
    </w:p>
    <w:p>
      <w:pPr>
        <w:pStyle w:val="2"/>
        <w:rPr>
          <w:rFonts w:hint="eastAsia"/>
          <w:lang w:eastAsia="zh-CN"/>
        </w:rPr>
      </w:pPr>
      <w:r>
        <w:drawing>
          <wp:inline distT="0" distB="0" distL="114300" distR="114300">
            <wp:extent cx="8973185" cy="5808980"/>
            <wp:effectExtent l="0" t="0" r="18415" b="127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31"/>
                    <a:stretch>
                      <a:fillRect/>
                    </a:stretch>
                  </pic:blipFill>
                  <pic:spPr>
                    <a:xfrm>
                      <a:off x="0" y="0"/>
                      <a:ext cx="8973185" cy="5808980"/>
                    </a:xfrm>
                    <a:prstGeom prst="rect">
                      <a:avLst/>
                    </a:prstGeom>
                    <a:noFill/>
                    <a:ln w="9525">
                      <a:noFill/>
                    </a:ln>
                  </pic:spPr>
                </pic:pic>
              </a:graphicData>
            </a:graphic>
          </wp:inline>
        </w:drawing>
      </w:r>
    </w:p>
    <w:p>
      <w:pPr>
        <w:pStyle w:val="2"/>
        <w:rPr>
          <w:rFonts w:hint="eastAsia"/>
          <w:lang w:eastAsia="zh-CN"/>
        </w:rPr>
      </w:pPr>
      <w:r>
        <w:drawing>
          <wp:inline distT="0" distB="0" distL="114300" distR="114300">
            <wp:extent cx="8916035" cy="5781040"/>
            <wp:effectExtent l="0" t="0" r="18415" b="1016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32"/>
                    <a:stretch>
                      <a:fillRect/>
                    </a:stretch>
                  </pic:blipFill>
                  <pic:spPr>
                    <a:xfrm>
                      <a:off x="0" y="0"/>
                      <a:ext cx="8916035" cy="5781040"/>
                    </a:xfrm>
                    <a:prstGeom prst="rect">
                      <a:avLst/>
                    </a:prstGeom>
                    <a:noFill/>
                    <a:ln w="9525">
                      <a:noFill/>
                    </a:ln>
                  </pic:spPr>
                </pic:pic>
              </a:graphicData>
            </a:graphic>
          </wp:inline>
        </w:drawing>
      </w:r>
    </w:p>
    <w:p>
      <w:pPr>
        <w:pStyle w:val="2"/>
        <w:rPr>
          <w:rStyle w:val="28"/>
          <w:rFonts w:hint="eastAsia" w:ascii="仿宋" w:hAnsi="仿宋" w:eastAsia="仿宋"/>
          <w:b/>
          <w:bCs w:val="0"/>
        </w:rPr>
      </w:pPr>
      <w:r>
        <w:drawing>
          <wp:inline distT="0" distB="0" distL="114300" distR="114300">
            <wp:extent cx="8906510" cy="5718810"/>
            <wp:effectExtent l="0" t="0" r="8890" b="1524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33"/>
                    <a:stretch>
                      <a:fillRect/>
                    </a:stretch>
                  </pic:blipFill>
                  <pic:spPr>
                    <a:xfrm>
                      <a:off x="0" y="0"/>
                      <a:ext cx="8906510" cy="5718810"/>
                    </a:xfrm>
                    <a:prstGeom prst="rect">
                      <a:avLst/>
                    </a:prstGeom>
                    <a:noFill/>
                    <a:ln w="9525">
                      <a:noFill/>
                    </a:ln>
                  </pic:spPr>
                </pic:pic>
              </a:graphicData>
            </a:graphic>
          </wp:inline>
        </w:drawing>
      </w:r>
    </w:p>
    <w:p>
      <w:pPr>
        <w:pStyle w:val="4"/>
        <w:pageBreakBefore w:val="0"/>
        <w:numPr>
          <w:ilvl w:val="0"/>
          <w:numId w:val="5"/>
        </w:numPr>
        <w:kinsoku/>
        <w:wordWrap/>
        <w:overflowPunct/>
        <w:topLinePunct w:val="0"/>
        <w:bidi w:val="0"/>
        <w:spacing w:line="560" w:lineRule="exact"/>
        <w:jc w:val="center"/>
        <w:textAlignment w:val="auto"/>
        <w:rPr>
          <w:rStyle w:val="28"/>
          <w:rFonts w:hint="eastAsia" w:ascii="仿宋" w:hAnsi="仿宋" w:eastAsia="仿宋"/>
          <w:b/>
          <w:bCs w:val="0"/>
        </w:rPr>
      </w:pPr>
      <w:r>
        <w:rPr>
          <w:rFonts w:hint="eastAsia" w:ascii="仿宋" w:hAnsi="仿宋" w:eastAsia="仿宋"/>
          <w:b/>
          <w:bCs w:val="0"/>
        </w:rPr>
        <w:t>一</w:t>
      </w:r>
      <w:r>
        <w:rPr>
          <w:rStyle w:val="28"/>
          <w:rFonts w:hint="eastAsia" w:ascii="仿宋" w:hAnsi="仿宋" w:eastAsia="仿宋"/>
          <w:b/>
          <w:bCs w:val="0"/>
        </w:rPr>
        <w:t>般公共预算财政拨款基本支出决算表</w:t>
      </w:r>
      <w:bookmarkEnd w:id="60"/>
    </w:p>
    <w:p>
      <w:pPr>
        <w:numPr>
          <w:ilvl w:val="0"/>
          <w:numId w:val="0"/>
        </w:numPr>
        <w:rPr>
          <w:rStyle w:val="28"/>
          <w:rFonts w:hint="eastAsia" w:ascii="仿宋" w:hAnsi="仿宋" w:eastAsia="仿宋"/>
          <w:b w:val="0"/>
          <w:bCs w:val="0"/>
        </w:rPr>
      </w:pPr>
      <w:r>
        <w:drawing>
          <wp:inline distT="0" distB="0" distL="114300" distR="114300">
            <wp:extent cx="9029700" cy="5078095"/>
            <wp:effectExtent l="0" t="0" r="0" b="825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34"/>
                    <a:stretch>
                      <a:fillRect/>
                    </a:stretch>
                  </pic:blipFill>
                  <pic:spPr>
                    <a:xfrm>
                      <a:off x="0" y="0"/>
                      <a:ext cx="9029700" cy="5078095"/>
                    </a:xfrm>
                    <a:prstGeom prst="rect">
                      <a:avLst/>
                    </a:prstGeom>
                    <a:noFill/>
                    <a:ln w="9525">
                      <a:noFill/>
                    </a:ln>
                  </pic:spPr>
                </pic:pic>
              </a:graphicData>
            </a:graphic>
          </wp:inline>
        </w:drawing>
      </w:r>
      <w:bookmarkStart w:id="61" w:name="_Toc15396627"/>
    </w:p>
    <w:p>
      <w:pPr>
        <w:pStyle w:val="4"/>
        <w:pageBreakBefore w:val="0"/>
        <w:numPr>
          <w:ilvl w:val="0"/>
          <w:numId w:val="5"/>
        </w:numPr>
        <w:kinsoku/>
        <w:wordWrap/>
        <w:overflowPunct/>
        <w:topLinePunct w:val="0"/>
        <w:bidi w:val="0"/>
        <w:spacing w:line="560" w:lineRule="exact"/>
        <w:ind w:left="0" w:leftChars="0" w:firstLine="0" w:firstLineChars="0"/>
        <w:jc w:val="center"/>
        <w:textAlignment w:val="auto"/>
        <w:rPr>
          <w:rStyle w:val="28"/>
          <w:rFonts w:hint="eastAsia" w:ascii="仿宋" w:hAnsi="仿宋" w:eastAsia="仿宋"/>
          <w:b/>
          <w:bCs/>
        </w:rPr>
      </w:pPr>
      <w:r>
        <w:rPr>
          <w:rFonts w:hint="eastAsia" w:ascii="仿宋" w:hAnsi="仿宋" w:eastAsia="仿宋"/>
          <w:b/>
          <w:bCs/>
        </w:rPr>
        <w:t>一</w:t>
      </w:r>
      <w:r>
        <w:rPr>
          <w:rStyle w:val="28"/>
          <w:rFonts w:hint="eastAsia" w:ascii="仿宋" w:hAnsi="仿宋" w:eastAsia="仿宋"/>
          <w:b/>
          <w:bCs/>
        </w:rPr>
        <w:t>般公共预算财政拨款项目支出决算表</w:t>
      </w:r>
      <w:bookmarkEnd w:id="61"/>
    </w:p>
    <w:tbl>
      <w:tblPr>
        <w:tblStyle w:val="14"/>
        <w:tblW w:w="136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07"/>
        <w:gridCol w:w="507"/>
        <w:gridCol w:w="507"/>
        <w:gridCol w:w="4621"/>
        <w:gridCol w:w="3741"/>
        <w:gridCol w:w="37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3" w:hRule="atLeast"/>
        </w:trPr>
        <w:tc>
          <w:tcPr>
            <w:tcW w:w="13640"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一般公共预算财政拨款项目支出决算表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0" w:type="auto"/>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单位名称：巴中市巴州区机关事务服务中心</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2023年度</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trPr>
        <w:tc>
          <w:tcPr>
            <w:tcW w:w="1521"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4621"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3741"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w:t>
            </w:r>
          </w:p>
        </w:tc>
        <w:tc>
          <w:tcPr>
            <w:tcW w:w="3757"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trPr>
        <w:tc>
          <w:tcPr>
            <w:tcW w:w="1521" w:type="dxa"/>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621"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741"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757"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trPr>
        <w:tc>
          <w:tcPr>
            <w:tcW w:w="507" w:type="dxa"/>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507"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507"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4621"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741"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757"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 w:hRule="atLeast"/>
        </w:trPr>
        <w:tc>
          <w:tcPr>
            <w:tcW w:w="507" w:type="dxa"/>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07"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07"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621"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343.58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343.58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343.58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343.58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政府办公厅（室）及相关机构事务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343.58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343.58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一般行政管理事务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2010399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其他政府办公厅（室）及相关机构事务支出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1364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注：本表以“万元”为金额单位（保留两位小数），反映部门/单位本年度一般公共预算财政拨款项目支出收支明细情况。</w:t>
            </w:r>
          </w:p>
        </w:tc>
      </w:tr>
    </w:tbl>
    <w:p>
      <w:pPr>
        <w:numPr>
          <w:ilvl w:val="0"/>
          <w:numId w:val="0"/>
        </w:numPr>
        <w:ind w:leftChars="0"/>
      </w:pPr>
    </w:p>
    <w:p>
      <w:pPr>
        <w:pStyle w:val="2"/>
      </w:pPr>
    </w:p>
    <w:p>
      <w:pPr>
        <w:pStyle w:val="2"/>
      </w:pPr>
    </w:p>
    <w:p>
      <w:pPr>
        <w:pStyle w:val="4"/>
        <w:pageBreakBefore w:val="0"/>
        <w:kinsoku/>
        <w:wordWrap/>
        <w:overflowPunct/>
        <w:topLinePunct w:val="0"/>
        <w:bidi w:val="0"/>
        <w:spacing w:line="560" w:lineRule="exact"/>
        <w:jc w:val="center"/>
        <w:textAlignment w:val="auto"/>
        <w:rPr>
          <w:rStyle w:val="28"/>
          <w:rFonts w:hint="eastAsia" w:ascii="仿宋" w:hAnsi="仿宋" w:eastAsia="仿宋"/>
          <w:b/>
          <w:bCs/>
        </w:rPr>
      </w:pPr>
      <w:bookmarkStart w:id="62" w:name="_Toc15396628"/>
      <w:r>
        <w:rPr>
          <w:rStyle w:val="28"/>
          <w:rFonts w:hint="eastAsia" w:ascii="仿宋" w:hAnsi="仿宋" w:eastAsia="仿宋"/>
          <w:b/>
          <w:bCs/>
        </w:rPr>
        <w:t>十、</w:t>
      </w:r>
      <w:bookmarkEnd w:id="62"/>
      <w:r>
        <w:rPr>
          <w:rFonts w:hint="eastAsia" w:ascii="仿宋" w:hAnsi="仿宋" w:eastAsia="仿宋"/>
          <w:b/>
          <w:bCs/>
        </w:rPr>
        <w:t>政</w:t>
      </w:r>
      <w:r>
        <w:rPr>
          <w:rStyle w:val="28"/>
          <w:rFonts w:hint="eastAsia" w:ascii="仿宋" w:hAnsi="仿宋" w:eastAsia="仿宋"/>
          <w:b/>
          <w:bCs/>
        </w:rPr>
        <w:t>府性基金预算财政拨款收入支出决算表</w:t>
      </w:r>
    </w:p>
    <w:tbl>
      <w:tblPr>
        <w:tblStyle w:val="1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1827"/>
        <w:gridCol w:w="1756"/>
        <w:gridCol w:w="1559"/>
        <w:gridCol w:w="672"/>
        <w:gridCol w:w="1096"/>
        <w:gridCol w:w="1096"/>
        <w:gridCol w:w="20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财决公开10表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gridSpan w:val="4"/>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单位名称：巴中市巴州区机关事务服务中心</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2023年度</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0" w:type="auto"/>
            <w:gridSpan w:val="3"/>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0" w:type="auto"/>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0" w:type="auto"/>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0" w:type="auto"/>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w:t>
            </w:r>
          </w:p>
        </w:tc>
        <w:tc>
          <w:tcPr>
            <w:tcW w:w="0" w:type="auto"/>
            <w:gridSpan w:val="3"/>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c>
          <w:tcPr>
            <w:tcW w:w="0" w:type="auto"/>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0" w:type="auto"/>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0" w:type="auto"/>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注：本表以“万元”为金额单位（保留两位小数），反映部门/单位本年度政府性预算财政拨款收入、支出及结转和结余情况。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说明：如部门/单位没有政府性基金收入，也没有使用政府性基金安排的支出，应注明本表无数据。</w:t>
            </w:r>
          </w:p>
        </w:tc>
      </w:tr>
    </w:tbl>
    <w:p/>
    <w:p>
      <w:pPr>
        <w:pStyle w:val="4"/>
        <w:pageBreakBefore w:val="0"/>
        <w:numPr>
          <w:ilvl w:val="0"/>
          <w:numId w:val="0"/>
        </w:numPr>
        <w:kinsoku/>
        <w:wordWrap/>
        <w:overflowPunct/>
        <w:topLinePunct w:val="0"/>
        <w:bidi w:val="0"/>
        <w:spacing w:line="560" w:lineRule="exact"/>
        <w:ind w:leftChars="0"/>
        <w:jc w:val="center"/>
        <w:textAlignment w:val="auto"/>
        <w:rPr>
          <w:rStyle w:val="28"/>
          <w:rFonts w:hint="eastAsia" w:ascii="仿宋" w:hAnsi="仿宋" w:eastAsia="仿宋"/>
          <w:b/>
          <w:bCs/>
        </w:rPr>
      </w:pPr>
      <w:r>
        <w:rPr>
          <w:rFonts w:hint="eastAsia" w:ascii="仿宋" w:hAnsi="仿宋" w:eastAsia="仿宋"/>
          <w:b/>
          <w:bCs/>
          <w:lang w:eastAsia="zh-CN"/>
        </w:rPr>
        <w:t>十一、</w:t>
      </w:r>
      <w:r>
        <w:rPr>
          <w:rFonts w:hint="eastAsia" w:ascii="仿宋" w:hAnsi="仿宋" w:eastAsia="仿宋"/>
          <w:b/>
          <w:bCs/>
        </w:rPr>
        <w:t>国</w:t>
      </w:r>
      <w:r>
        <w:rPr>
          <w:rStyle w:val="28"/>
          <w:rFonts w:hint="eastAsia" w:ascii="仿宋" w:hAnsi="仿宋" w:eastAsia="仿宋"/>
          <w:b/>
          <w:bCs/>
        </w:rPr>
        <w:t>有资本经营预算财政拨款收入支出决算表</w:t>
      </w:r>
    </w:p>
    <w:tbl>
      <w:tblPr>
        <w:tblStyle w:val="14"/>
        <w:tblW w:w="1305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2"/>
        <w:gridCol w:w="1545"/>
        <w:gridCol w:w="1185"/>
        <w:gridCol w:w="2445"/>
        <w:gridCol w:w="2563"/>
        <w:gridCol w:w="1207"/>
        <w:gridCol w:w="1207"/>
        <w:gridCol w:w="18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3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54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8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4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56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0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0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872"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财决公开11表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207" w:type="dxa"/>
            <w:gridSpan w:val="4"/>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单位名称：巴中市巴州区机关事务服务中心</w:t>
            </w:r>
          </w:p>
        </w:tc>
        <w:tc>
          <w:tcPr>
            <w:tcW w:w="2563"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2023年度</w:t>
            </w:r>
          </w:p>
        </w:tc>
        <w:tc>
          <w:tcPr>
            <w:tcW w:w="120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120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1872"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6207" w:type="dxa"/>
            <w:gridSpan w:val="4"/>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    目</w:t>
            </w:r>
          </w:p>
        </w:tc>
        <w:tc>
          <w:tcPr>
            <w:tcW w:w="2563"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1207"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w:t>
            </w:r>
          </w:p>
        </w:tc>
        <w:tc>
          <w:tcPr>
            <w:tcW w:w="1207"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c>
          <w:tcPr>
            <w:tcW w:w="1872"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trPr>
        <w:tc>
          <w:tcPr>
            <w:tcW w:w="3762"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2445"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563"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07"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07"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872"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trPr>
        <w:tc>
          <w:tcPr>
            <w:tcW w:w="3762" w:type="dxa"/>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44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563"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07"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07"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872"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trPr>
        <w:tc>
          <w:tcPr>
            <w:tcW w:w="3762" w:type="dxa"/>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44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563"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07"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07"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872"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4" w:hRule="atLeast"/>
        </w:trPr>
        <w:tc>
          <w:tcPr>
            <w:tcW w:w="1032" w:type="dxa"/>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154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118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244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2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3056" w:type="dxa"/>
            <w:gridSpan w:val="8"/>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注：本表以“万元”为金额单位（保留两位小数），反映部门/单位本年度国有资本经营预算财政拨款支出情况；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如部门/单位没有国有资本经营预算收入，也没有使用国有资本经营预算安排的支出，应注明本表无数据。</w:t>
            </w:r>
          </w:p>
        </w:tc>
      </w:tr>
    </w:tbl>
    <w:p>
      <w:pPr>
        <w:numPr>
          <w:ilvl w:val="0"/>
          <w:numId w:val="0"/>
        </w:numPr>
        <w:ind w:leftChars="0"/>
      </w:pPr>
    </w:p>
    <w:p>
      <w:pPr>
        <w:pStyle w:val="4"/>
        <w:pageBreakBefore w:val="0"/>
        <w:numPr>
          <w:ilvl w:val="0"/>
          <w:numId w:val="0"/>
        </w:numPr>
        <w:kinsoku/>
        <w:wordWrap/>
        <w:overflowPunct/>
        <w:topLinePunct w:val="0"/>
        <w:bidi w:val="0"/>
        <w:spacing w:line="560" w:lineRule="exact"/>
        <w:ind w:leftChars="0"/>
        <w:jc w:val="center"/>
        <w:textAlignment w:val="auto"/>
        <w:rPr>
          <w:rStyle w:val="28"/>
          <w:rFonts w:hint="eastAsia" w:ascii="仿宋" w:hAnsi="仿宋" w:eastAsia="仿宋"/>
          <w:b/>
          <w:bCs/>
        </w:rPr>
      </w:pPr>
      <w:r>
        <w:rPr>
          <w:rStyle w:val="28"/>
          <w:rFonts w:hint="eastAsia" w:ascii="仿宋" w:hAnsi="仿宋" w:eastAsia="仿宋"/>
          <w:b/>
          <w:bCs/>
          <w:lang w:eastAsia="zh-CN"/>
        </w:rPr>
        <w:t>十二、</w:t>
      </w:r>
      <w:r>
        <w:rPr>
          <w:rStyle w:val="28"/>
          <w:rFonts w:hint="eastAsia" w:ascii="仿宋" w:hAnsi="仿宋" w:eastAsia="仿宋"/>
          <w:b/>
          <w:bCs/>
        </w:rPr>
        <w:t>国有资本经营预算财政拨款支出决算表</w:t>
      </w:r>
    </w:p>
    <w:tbl>
      <w:tblPr>
        <w:tblStyle w:val="14"/>
        <w:tblW w:w="1298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6"/>
        <w:gridCol w:w="436"/>
        <w:gridCol w:w="436"/>
        <w:gridCol w:w="4267"/>
        <w:gridCol w:w="2472"/>
        <w:gridCol w:w="2465"/>
        <w:gridCol w:w="24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财决公开12表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单位名称：巴中市巴州区机关事务服务中心</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2023年度</w:t>
            </w: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575" w:type="dxa"/>
            <w:gridSpan w:val="4"/>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    目</w:t>
            </w:r>
          </w:p>
        </w:tc>
        <w:tc>
          <w:tcPr>
            <w:tcW w:w="7409" w:type="dxa"/>
            <w:gridSpan w:val="3"/>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1308"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4267"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472"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2465"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2472"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1308" w:type="dxa"/>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267"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472"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46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472"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1308" w:type="dxa"/>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267"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472"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46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472"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4" w:hRule="atLeast"/>
        </w:trPr>
        <w:tc>
          <w:tcPr>
            <w:tcW w:w="436" w:type="dxa"/>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436"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436"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4267"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2984" w:type="dxa"/>
            <w:gridSpan w:val="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注：本表反映部门/单位本年度国有资本经营预算财政拨款支出情况。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如部门/单位没有使用国有资本经营预算安排的支出，应注明本表无数据。</w:t>
            </w:r>
          </w:p>
        </w:tc>
      </w:tr>
    </w:tbl>
    <w:p>
      <w:pPr>
        <w:numPr>
          <w:ilvl w:val="0"/>
          <w:numId w:val="0"/>
        </w:numPr>
      </w:pPr>
    </w:p>
    <w:p>
      <w:pPr>
        <w:pStyle w:val="2"/>
      </w:pPr>
    </w:p>
    <w:p>
      <w:pPr>
        <w:pStyle w:val="2"/>
      </w:pPr>
    </w:p>
    <w:p>
      <w:pPr>
        <w:pStyle w:val="2"/>
      </w:pPr>
    </w:p>
    <w:p>
      <w:pPr>
        <w:pStyle w:val="2"/>
      </w:pPr>
    </w:p>
    <w:p>
      <w:pPr>
        <w:pStyle w:val="4"/>
        <w:pageBreakBefore w:val="0"/>
        <w:numPr>
          <w:ilvl w:val="0"/>
          <w:numId w:val="6"/>
        </w:numPr>
        <w:kinsoku/>
        <w:wordWrap/>
        <w:overflowPunct/>
        <w:topLinePunct w:val="0"/>
        <w:bidi w:val="0"/>
        <w:spacing w:line="560" w:lineRule="exact"/>
        <w:jc w:val="center"/>
        <w:textAlignment w:val="auto"/>
        <w:rPr>
          <w:rFonts w:hint="eastAsia"/>
        </w:rPr>
      </w:pPr>
      <w:r>
        <w:rPr>
          <w:rStyle w:val="28"/>
          <w:rFonts w:hint="eastAsia" w:ascii="仿宋" w:hAnsi="仿宋" w:eastAsia="仿宋"/>
          <w:b/>
          <w:bCs/>
        </w:rPr>
        <w:t>财政拨款“三公”经费支出决算表</w:t>
      </w:r>
    </w:p>
    <w:tbl>
      <w:tblPr>
        <w:tblStyle w:val="14"/>
        <w:tblW w:w="1425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6"/>
        <w:gridCol w:w="876"/>
        <w:gridCol w:w="666"/>
        <w:gridCol w:w="436"/>
        <w:gridCol w:w="666"/>
        <w:gridCol w:w="516"/>
        <w:gridCol w:w="666"/>
        <w:gridCol w:w="876"/>
        <w:gridCol w:w="666"/>
        <w:gridCol w:w="436"/>
        <w:gridCol w:w="666"/>
        <w:gridCol w:w="516"/>
        <w:gridCol w:w="666"/>
        <w:gridCol w:w="876"/>
        <w:gridCol w:w="666"/>
        <w:gridCol w:w="436"/>
        <w:gridCol w:w="666"/>
        <w:gridCol w:w="516"/>
        <w:gridCol w:w="436"/>
        <w:gridCol w:w="876"/>
        <w:gridCol w:w="436"/>
        <w:gridCol w:w="436"/>
        <w:gridCol w:w="436"/>
        <w:gridCol w:w="4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gridSpan w:val="4"/>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财决公开13表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0" w:type="auto"/>
            <w:gridSpan w:val="7"/>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单位名称：巴中市巴州区机关事务服务中心</w:t>
            </w: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gridSpan w:val="4"/>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2023年度</w:t>
            </w: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gridSpan w:val="4"/>
            <w:tcBorders>
              <w:top w:val="nil"/>
              <w:left w:val="nil"/>
              <w:bottom w:val="nil"/>
              <w:right w:val="nil"/>
            </w:tcBorders>
            <w:shd w:val="clear" w:color="auto" w:fill="auto"/>
            <w:noWrap/>
            <w:vAlign w:val="center"/>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0" w:hRule="atLeast"/>
        </w:trPr>
        <w:tc>
          <w:tcPr>
            <w:tcW w:w="0" w:type="auto"/>
            <w:gridSpan w:val="6"/>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0" w:type="auto"/>
            <w:gridSpan w:val="18"/>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8" w:hRule="atLeast"/>
        </w:trPr>
        <w:tc>
          <w:tcPr>
            <w:tcW w:w="0" w:type="auto"/>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因公出国（境）费用</w:t>
            </w:r>
          </w:p>
        </w:tc>
        <w:tc>
          <w:tcPr>
            <w:tcW w:w="0" w:type="auto"/>
            <w:gridSpan w:val="3"/>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公务用车购置及运行费</w:t>
            </w:r>
          </w:p>
        </w:tc>
        <w:tc>
          <w:tcPr>
            <w:tcW w:w="0" w:type="auto"/>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0" w:type="auto"/>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0" w:type="auto"/>
            <w:gridSpan w:val="3"/>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公务用车购置及运行费</w:t>
            </w:r>
          </w:p>
        </w:tc>
        <w:tc>
          <w:tcPr>
            <w:tcW w:w="0" w:type="auto"/>
            <w:vMerge w:val="restart"/>
            <w:tcBorders>
              <w:top w:val="nil"/>
              <w:left w:val="nil"/>
              <w:bottom w:val="single" w:color="000000" w:sz="4" w:space="0"/>
              <w:right w:val="nil"/>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0" w:type="auto"/>
            <w:gridSpan w:val="6"/>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其中：一般公共预算财政拨款</w:t>
            </w:r>
          </w:p>
        </w:tc>
        <w:tc>
          <w:tcPr>
            <w:tcW w:w="0" w:type="auto"/>
            <w:gridSpan w:val="6"/>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其中：政府性基金预算财政拨款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1" w:hRule="atLeast"/>
        </w:trPr>
        <w:tc>
          <w:tcPr>
            <w:tcW w:w="0" w:type="auto"/>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0" w:type="auto"/>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0" w:type="auto"/>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公务用车运行费</w:t>
            </w:r>
          </w:p>
        </w:tc>
        <w:tc>
          <w:tcPr>
            <w:tcW w:w="0" w:type="auto"/>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0" w:type="auto"/>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公务用车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0" w:type="auto"/>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公务用车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运行费</w:t>
            </w:r>
          </w:p>
        </w:tc>
        <w:tc>
          <w:tcPr>
            <w:tcW w:w="0" w:type="auto"/>
            <w:vMerge w:val="continue"/>
            <w:tcBorders>
              <w:top w:val="nil"/>
              <w:left w:val="nil"/>
              <w:bottom w:val="single" w:color="000000" w:sz="4" w:space="0"/>
              <w:right w:val="nil"/>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0" w:type="auto"/>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0" w:type="auto"/>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3" w:hRule="atLeast"/>
        </w:trPr>
        <w:tc>
          <w:tcPr>
            <w:tcW w:w="0" w:type="auto"/>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000000" w:sz="4" w:space="0"/>
              <w:right w:val="nil"/>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公务用车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0" w:type="auto"/>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公务用车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运行费</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公务用车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0" w:type="auto"/>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公务用车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运行费</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465.10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353.59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353.49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353.49</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0.10</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353.59</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353.49</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353.49</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0.10</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righ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0" w:type="auto"/>
            <w:gridSpan w:val="24"/>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pStyle w:val="2"/>
        <w:tabs>
          <w:tab w:val="left" w:pos="12567"/>
        </w:tabs>
        <w:rPr>
          <w:rFonts w:hint="eastAsia" w:eastAsia="仿宋_GB2312"/>
          <w:lang w:eastAsia="zh-CN"/>
        </w:rPr>
      </w:pPr>
    </w:p>
    <w:sectPr>
      <w:footerReference r:id="rId21" w:type="first"/>
      <w:footerReference r:id="rId20" w:type="default"/>
      <w:pgSz w:w="16838" w:h="11906" w:orient="landscape"/>
      <w:pgMar w:top="1134" w:right="1440" w:bottom="567" w:left="1440" w:header="851" w:footer="992" w:gutter="0"/>
      <w:pgNumType w:fmt="decimal" w:start="27"/>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2" w:usb3="00000000" w:csb0="00040001"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9"/>
          <w:jc w:val="center"/>
        </w:pPr>
      </w:p>
    </w:sdtContent>
  </w:sdt>
  <w:p>
    <w:pPr>
      <w:pStyle w:val="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sdt>
      <w:sdtPr>
        <w:id w:val="-1994781956"/>
      </w:sdtPr>
      <w:sdtContent/>
    </w:sdt>
  </w:p>
  <w:p>
    <w:pPr>
      <w:pStyle w:val="9"/>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sdt>
      <w:sdtPr>
        <w:id w:val="-1994781956"/>
      </w:sdtPr>
      <w:sdtContent/>
    </w:sdt>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sdt>
      <w:sdtPr>
        <w:id w:val="-1994781956"/>
      </w:sdtPr>
      <w:sdtContent/>
    </w:sdt>
  </w:p>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sdt>
      <w:sdtPr>
        <w:id w:val="-1994781956"/>
      </w:sdtPr>
      <w:sdtContent/>
    </w:sdt>
  </w:p>
  <w:p>
    <w:pPr>
      <w:pStyle w:val="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sdt>
      <w:sdtPr>
        <w:id w:val="-1994781956"/>
      </w:sdtPr>
      <w:sdtContent/>
    </w:sdt>
  </w:p>
  <w:p>
    <w:pPr>
      <w:pStyle w:val="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sdt>
      <w:sdtPr>
        <w:id w:val="-1994781956"/>
      </w:sdtPr>
      <w:sdtContent/>
    </w:sdt>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C652FE"/>
    <w:multiLevelType w:val="singleLevel"/>
    <w:tmpl w:val="8AC652FE"/>
    <w:lvl w:ilvl="0" w:tentative="0">
      <w:start w:val="8"/>
      <w:numFmt w:val="chineseCounting"/>
      <w:suff w:val="nothing"/>
      <w:lvlText w:val="%1、"/>
      <w:lvlJc w:val="left"/>
      <w:rPr>
        <w:rFonts w:hint="eastAsia"/>
      </w:rPr>
    </w:lvl>
  </w:abstractNum>
  <w:abstractNum w:abstractNumId="1">
    <w:nsid w:val="924246F3"/>
    <w:multiLevelType w:val="singleLevel"/>
    <w:tmpl w:val="924246F3"/>
    <w:lvl w:ilvl="0" w:tentative="0">
      <w:start w:val="13"/>
      <w:numFmt w:val="chineseCounting"/>
      <w:suff w:val="nothing"/>
      <w:lvlText w:val="%1、"/>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3818A09A"/>
    <w:multiLevelType w:val="singleLevel"/>
    <w:tmpl w:val="3818A09A"/>
    <w:lvl w:ilvl="0" w:tentative="0">
      <w:start w:val="1"/>
      <w:numFmt w:val="chineseCounting"/>
      <w:suff w:val="nothing"/>
      <w:lvlText w:val="%1、"/>
      <w:lvlJc w:val="left"/>
      <w:pPr>
        <w:ind w:left="210"/>
      </w:pPr>
      <w:rPr>
        <w:rFonts w:hint="eastAsia"/>
      </w:r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4YmI4NmRmN2ZiMWUyMmIxNDJmNzc5NjhhNTFkOGYifQ=="/>
  </w:docVars>
  <w:rsids>
    <w:rsidRoot w:val="00F1361C"/>
    <w:rsid w:val="0000264A"/>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3396"/>
    <w:rsid w:val="001E737D"/>
    <w:rsid w:val="001F0592"/>
    <w:rsid w:val="001F1D2C"/>
    <w:rsid w:val="001F7506"/>
    <w:rsid w:val="002006CD"/>
    <w:rsid w:val="00202B36"/>
    <w:rsid w:val="00204B7A"/>
    <w:rsid w:val="00204CDE"/>
    <w:rsid w:val="00206907"/>
    <w:rsid w:val="0021101A"/>
    <w:rsid w:val="00212B4A"/>
    <w:rsid w:val="00220536"/>
    <w:rsid w:val="00235629"/>
    <w:rsid w:val="00247343"/>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8F6EB2"/>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D37272"/>
    <w:rsid w:val="026E0D49"/>
    <w:rsid w:val="027A76EE"/>
    <w:rsid w:val="02B56978"/>
    <w:rsid w:val="033A6423"/>
    <w:rsid w:val="03656E4C"/>
    <w:rsid w:val="03892C16"/>
    <w:rsid w:val="039F38AE"/>
    <w:rsid w:val="03DC2831"/>
    <w:rsid w:val="046A09DF"/>
    <w:rsid w:val="047563BF"/>
    <w:rsid w:val="05465FAD"/>
    <w:rsid w:val="05575AC4"/>
    <w:rsid w:val="056F72B2"/>
    <w:rsid w:val="05AF76AE"/>
    <w:rsid w:val="05FC0CA4"/>
    <w:rsid w:val="060303F8"/>
    <w:rsid w:val="06141C07"/>
    <w:rsid w:val="06B2355F"/>
    <w:rsid w:val="06D01FD2"/>
    <w:rsid w:val="06DC0CF1"/>
    <w:rsid w:val="075E44A8"/>
    <w:rsid w:val="07630415"/>
    <w:rsid w:val="07DB35C9"/>
    <w:rsid w:val="081B5E94"/>
    <w:rsid w:val="088E7A4F"/>
    <w:rsid w:val="08906CFC"/>
    <w:rsid w:val="08BF22FE"/>
    <w:rsid w:val="09081D34"/>
    <w:rsid w:val="09412D13"/>
    <w:rsid w:val="094D4CA9"/>
    <w:rsid w:val="0A2032A3"/>
    <w:rsid w:val="0A795A28"/>
    <w:rsid w:val="0AAF0AE4"/>
    <w:rsid w:val="0B1A27CF"/>
    <w:rsid w:val="0B3301DB"/>
    <w:rsid w:val="0B896DE2"/>
    <w:rsid w:val="0B8A37D8"/>
    <w:rsid w:val="0C2B284A"/>
    <w:rsid w:val="0C312D63"/>
    <w:rsid w:val="0C490835"/>
    <w:rsid w:val="0CA835B7"/>
    <w:rsid w:val="0CD143AE"/>
    <w:rsid w:val="0D222E5C"/>
    <w:rsid w:val="0D3B3F1D"/>
    <w:rsid w:val="0D5C636E"/>
    <w:rsid w:val="0E03091A"/>
    <w:rsid w:val="0E2A2898"/>
    <w:rsid w:val="0E4B1F3E"/>
    <w:rsid w:val="0EC0292C"/>
    <w:rsid w:val="0F24110D"/>
    <w:rsid w:val="0F2F1860"/>
    <w:rsid w:val="0F5FFB2F"/>
    <w:rsid w:val="0F6F58D5"/>
    <w:rsid w:val="0FA33AE1"/>
    <w:rsid w:val="0FAE09D7"/>
    <w:rsid w:val="0FF5106B"/>
    <w:rsid w:val="0FFFCF60"/>
    <w:rsid w:val="10090303"/>
    <w:rsid w:val="107135BC"/>
    <w:rsid w:val="10A832F4"/>
    <w:rsid w:val="10BB784F"/>
    <w:rsid w:val="10C055FF"/>
    <w:rsid w:val="10C74B74"/>
    <w:rsid w:val="10D94AA4"/>
    <w:rsid w:val="11140D0D"/>
    <w:rsid w:val="118107EC"/>
    <w:rsid w:val="118916FB"/>
    <w:rsid w:val="11986072"/>
    <w:rsid w:val="11D81D3B"/>
    <w:rsid w:val="11DD6519"/>
    <w:rsid w:val="120174E4"/>
    <w:rsid w:val="12217B86"/>
    <w:rsid w:val="12635AA8"/>
    <w:rsid w:val="12D6271E"/>
    <w:rsid w:val="12E50BB3"/>
    <w:rsid w:val="12FE3A23"/>
    <w:rsid w:val="13135720"/>
    <w:rsid w:val="131B6383"/>
    <w:rsid w:val="137E3AD8"/>
    <w:rsid w:val="139C4688"/>
    <w:rsid w:val="13CA4871"/>
    <w:rsid w:val="13DD188A"/>
    <w:rsid w:val="13EC5F71"/>
    <w:rsid w:val="14641FAC"/>
    <w:rsid w:val="15211C4B"/>
    <w:rsid w:val="152E4A94"/>
    <w:rsid w:val="158226E9"/>
    <w:rsid w:val="15A2148E"/>
    <w:rsid w:val="15AC50F9"/>
    <w:rsid w:val="15D53161"/>
    <w:rsid w:val="15EE5FD1"/>
    <w:rsid w:val="15FA6724"/>
    <w:rsid w:val="16471487"/>
    <w:rsid w:val="165D6CB3"/>
    <w:rsid w:val="169721C5"/>
    <w:rsid w:val="16AD22F9"/>
    <w:rsid w:val="16B0772A"/>
    <w:rsid w:val="16BB723D"/>
    <w:rsid w:val="16EF0253"/>
    <w:rsid w:val="17165281"/>
    <w:rsid w:val="171D0A3F"/>
    <w:rsid w:val="17242EDE"/>
    <w:rsid w:val="17936E30"/>
    <w:rsid w:val="18015F3F"/>
    <w:rsid w:val="186B0047"/>
    <w:rsid w:val="18E61C15"/>
    <w:rsid w:val="19784BF6"/>
    <w:rsid w:val="19D379B8"/>
    <w:rsid w:val="1A1447E2"/>
    <w:rsid w:val="1A384568"/>
    <w:rsid w:val="1A59109B"/>
    <w:rsid w:val="1A7D7923"/>
    <w:rsid w:val="1A82318C"/>
    <w:rsid w:val="1A937147"/>
    <w:rsid w:val="1ACB068F"/>
    <w:rsid w:val="1AD31C39"/>
    <w:rsid w:val="1B634D6B"/>
    <w:rsid w:val="1BE8440E"/>
    <w:rsid w:val="1C1678EA"/>
    <w:rsid w:val="1C5648D0"/>
    <w:rsid w:val="1CE65C54"/>
    <w:rsid w:val="1D155CEE"/>
    <w:rsid w:val="1D2A162B"/>
    <w:rsid w:val="1E025791"/>
    <w:rsid w:val="1E8A260F"/>
    <w:rsid w:val="1EA9518B"/>
    <w:rsid w:val="1F326B89"/>
    <w:rsid w:val="1FDBBF84"/>
    <w:rsid w:val="200433A9"/>
    <w:rsid w:val="20062169"/>
    <w:rsid w:val="20CA6BF4"/>
    <w:rsid w:val="20D61B3B"/>
    <w:rsid w:val="20F57F95"/>
    <w:rsid w:val="21621621"/>
    <w:rsid w:val="217355DC"/>
    <w:rsid w:val="2197576F"/>
    <w:rsid w:val="21D108B0"/>
    <w:rsid w:val="21EC6AA0"/>
    <w:rsid w:val="22372AAE"/>
    <w:rsid w:val="223F432D"/>
    <w:rsid w:val="22923408"/>
    <w:rsid w:val="22C65E61"/>
    <w:rsid w:val="22E76282"/>
    <w:rsid w:val="232D3C70"/>
    <w:rsid w:val="238D1D74"/>
    <w:rsid w:val="23DC390D"/>
    <w:rsid w:val="23EE3640"/>
    <w:rsid w:val="23F21382"/>
    <w:rsid w:val="24030E99"/>
    <w:rsid w:val="240371BF"/>
    <w:rsid w:val="243C6BCF"/>
    <w:rsid w:val="24885842"/>
    <w:rsid w:val="249943A1"/>
    <w:rsid w:val="24D740D4"/>
    <w:rsid w:val="252943B3"/>
    <w:rsid w:val="252C3E16"/>
    <w:rsid w:val="25302162"/>
    <w:rsid w:val="25711CC6"/>
    <w:rsid w:val="25B83F05"/>
    <w:rsid w:val="25C741E6"/>
    <w:rsid w:val="26221809"/>
    <w:rsid w:val="262D48F3"/>
    <w:rsid w:val="269674DE"/>
    <w:rsid w:val="26CA0394"/>
    <w:rsid w:val="26D703BB"/>
    <w:rsid w:val="26DA3DC6"/>
    <w:rsid w:val="27241009"/>
    <w:rsid w:val="276F80C0"/>
    <w:rsid w:val="27842671"/>
    <w:rsid w:val="279D33B3"/>
    <w:rsid w:val="279E7B60"/>
    <w:rsid w:val="27D33279"/>
    <w:rsid w:val="27E2526A"/>
    <w:rsid w:val="2852419D"/>
    <w:rsid w:val="288D78CB"/>
    <w:rsid w:val="28ED6CB7"/>
    <w:rsid w:val="29A70519"/>
    <w:rsid w:val="29FD04D3"/>
    <w:rsid w:val="2A111E36"/>
    <w:rsid w:val="2A2237D2"/>
    <w:rsid w:val="2A255ACC"/>
    <w:rsid w:val="2ABE7A3E"/>
    <w:rsid w:val="2AE5754B"/>
    <w:rsid w:val="2AFF09B6"/>
    <w:rsid w:val="2B3D11DD"/>
    <w:rsid w:val="2B5B780D"/>
    <w:rsid w:val="2BE74E97"/>
    <w:rsid w:val="2BF770A9"/>
    <w:rsid w:val="2BFB07A2"/>
    <w:rsid w:val="2BFF71DE"/>
    <w:rsid w:val="2C1B357C"/>
    <w:rsid w:val="2C9034E6"/>
    <w:rsid w:val="2CA234A8"/>
    <w:rsid w:val="2CDD4252"/>
    <w:rsid w:val="2CE41FFD"/>
    <w:rsid w:val="2CF9108B"/>
    <w:rsid w:val="2D594220"/>
    <w:rsid w:val="2D872936"/>
    <w:rsid w:val="2D917516"/>
    <w:rsid w:val="2D92328E"/>
    <w:rsid w:val="2DA53251"/>
    <w:rsid w:val="2DB9081B"/>
    <w:rsid w:val="2DE51610"/>
    <w:rsid w:val="2E055AB8"/>
    <w:rsid w:val="2E5F13C2"/>
    <w:rsid w:val="2E8C1403"/>
    <w:rsid w:val="2ED32E1D"/>
    <w:rsid w:val="2EED2E72"/>
    <w:rsid w:val="2EFA178C"/>
    <w:rsid w:val="2EFDF86C"/>
    <w:rsid w:val="2F2D7712"/>
    <w:rsid w:val="2F4D56BE"/>
    <w:rsid w:val="2F527179"/>
    <w:rsid w:val="2F9D17E1"/>
    <w:rsid w:val="2FF26246"/>
    <w:rsid w:val="304B42F4"/>
    <w:rsid w:val="30A532D8"/>
    <w:rsid w:val="30B46D73"/>
    <w:rsid w:val="30E81B43"/>
    <w:rsid w:val="30EB255A"/>
    <w:rsid w:val="314825E1"/>
    <w:rsid w:val="314932A7"/>
    <w:rsid w:val="319F7F4E"/>
    <w:rsid w:val="31AC230D"/>
    <w:rsid w:val="31BE0AF5"/>
    <w:rsid w:val="31CC4FC0"/>
    <w:rsid w:val="321E0DC5"/>
    <w:rsid w:val="32513718"/>
    <w:rsid w:val="32546E92"/>
    <w:rsid w:val="325D20BC"/>
    <w:rsid w:val="329B4993"/>
    <w:rsid w:val="32F04CDF"/>
    <w:rsid w:val="3301513E"/>
    <w:rsid w:val="33024A12"/>
    <w:rsid w:val="331F55C4"/>
    <w:rsid w:val="33355BB1"/>
    <w:rsid w:val="335C05C6"/>
    <w:rsid w:val="3393422B"/>
    <w:rsid w:val="33DF6B01"/>
    <w:rsid w:val="34012F1B"/>
    <w:rsid w:val="34283DE7"/>
    <w:rsid w:val="342B5A3C"/>
    <w:rsid w:val="344A6399"/>
    <w:rsid w:val="345D2B47"/>
    <w:rsid w:val="346C4754"/>
    <w:rsid w:val="34C51B95"/>
    <w:rsid w:val="350B5E00"/>
    <w:rsid w:val="3511718E"/>
    <w:rsid w:val="356A28F1"/>
    <w:rsid w:val="357C035A"/>
    <w:rsid w:val="35A7434F"/>
    <w:rsid w:val="35C0308E"/>
    <w:rsid w:val="35D97098"/>
    <w:rsid w:val="35E675D7"/>
    <w:rsid w:val="360016DD"/>
    <w:rsid w:val="360B4347"/>
    <w:rsid w:val="368340BC"/>
    <w:rsid w:val="368E000D"/>
    <w:rsid w:val="36A24542"/>
    <w:rsid w:val="36B64491"/>
    <w:rsid w:val="36C26992"/>
    <w:rsid w:val="36FA287A"/>
    <w:rsid w:val="36FD713B"/>
    <w:rsid w:val="37070849"/>
    <w:rsid w:val="37465815"/>
    <w:rsid w:val="37AD7642"/>
    <w:rsid w:val="37BC5AD7"/>
    <w:rsid w:val="37C14E9C"/>
    <w:rsid w:val="37E56DDC"/>
    <w:rsid w:val="383D272C"/>
    <w:rsid w:val="386960A5"/>
    <w:rsid w:val="386D65D1"/>
    <w:rsid w:val="386F66A6"/>
    <w:rsid w:val="38AF2F46"/>
    <w:rsid w:val="38EF5A38"/>
    <w:rsid w:val="39663F4D"/>
    <w:rsid w:val="39691347"/>
    <w:rsid w:val="397D0DF5"/>
    <w:rsid w:val="398E3A18"/>
    <w:rsid w:val="399565E0"/>
    <w:rsid w:val="39A25BAC"/>
    <w:rsid w:val="39AE70AB"/>
    <w:rsid w:val="39E71AB7"/>
    <w:rsid w:val="3A141A1A"/>
    <w:rsid w:val="3A4DCE41"/>
    <w:rsid w:val="3A61657F"/>
    <w:rsid w:val="3A93116A"/>
    <w:rsid w:val="3ACC6031"/>
    <w:rsid w:val="3ACF1C8D"/>
    <w:rsid w:val="3AEF7F72"/>
    <w:rsid w:val="3B1C21A2"/>
    <w:rsid w:val="3B530501"/>
    <w:rsid w:val="3BAE3989"/>
    <w:rsid w:val="3BCB56FA"/>
    <w:rsid w:val="3BDA477E"/>
    <w:rsid w:val="3BDA6CC8"/>
    <w:rsid w:val="3C0C0783"/>
    <w:rsid w:val="3C211DCF"/>
    <w:rsid w:val="3C2A7FE4"/>
    <w:rsid w:val="3C4542ED"/>
    <w:rsid w:val="3C4B11D8"/>
    <w:rsid w:val="3D483E84"/>
    <w:rsid w:val="3D485717"/>
    <w:rsid w:val="3D7D1865"/>
    <w:rsid w:val="3D9B7F3D"/>
    <w:rsid w:val="3DC76F84"/>
    <w:rsid w:val="3DC9194F"/>
    <w:rsid w:val="3E0C2BE9"/>
    <w:rsid w:val="3E477D82"/>
    <w:rsid w:val="3E6E11AD"/>
    <w:rsid w:val="3E75078E"/>
    <w:rsid w:val="3EE7C2F4"/>
    <w:rsid w:val="3EFC4A0B"/>
    <w:rsid w:val="3F0C10F2"/>
    <w:rsid w:val="3F146B98"/>
    <w:rsid w:val="3F1A4E4A"/>
    <w:rsid w:val="3F371B56"/>
    <w:rsid w:val="3F792ED8"/>
    <w:rsid w:val="3F9F3A96"/>
    <w:rsid w:val="3FC4377B"/>
    <w:rsid w:val="3FDB6D16"/>
    <w:rsid w:val="3FECA4B2"/>
    <w:rsid w:val="3FF58C48"/>
    <w:rsid w:val="400718BA"/>
    <w:rsid w:val="407A208B"/>
    <w:rsid w:val="40B4119E"/>
    <w:rsid w:val="411B3528"/>
    <w:rsid w:val="41656898"/>
    <w:rsid w:val="42034CAB"/>
    <w:rsid w:val="421D7172"/>
    <w:rsid w:val="425F59DD"/>
    <w:rsid w:val="42E3660E"/>
    <w:rsid w:val="42FF6694"/>
    <w:rsid w:val="434B5F61"/>
    <w:rsid w:val="434F2D1E"/>
    <w:rsid w:val="43C95804"/>
    <w:rsid w:val="43CD4BC8"/>
    <w:rsid w:val="43F6411F"/>
    <w:rsid w:val="44070884"/>
    <w:rsid w:val="44136A7F"/>
    <w:rsid w:val="447C2876"/>
    <w:rsid w:val="4493196E"/>
    <w:rsid w:val="455E1F7C"/>
    <w:rsid w:val="4565155C"/>
    <w:rsid w:val="45DB181E"/>
    <w:rsid w:val="45ED00D2"/>
    <w:rsid w:val="461273F6"/>
    <w:rsid w:val="46153747"/>
    <w:rsid w:val="462036D5"/>
    <w:rsid w:val="46222FA9"/>
    <w:rsid w:val="464E3D9E"/>
    <w:rsid w:val="466D2A68"/>
    <w:rsid w:val="4682613E"/>
    <w:rsid w:val="46F85D21"/>
    <w:rsid w:val="47613F36"/>
    <w:rsid w:val="477517FF"/>
    <w:rsid w:val="478F0B12"/>
    <w:rsid w:val="487F17BC"/>
    <w:rsid w:val="488066AD"/>
    <w:rsid w:val="48BF60AB"/>
    <w:rsid w:val="49261002"/>
    <w:rsid w:val="492B4633"/>
    <w:rsid w:val="493C27E9"/>
    <w:rsid w:val="496F39ED"/>
    <w:rsid w:val="498B70B7"/>
    <w:rsid w:val="49B43C95"/>
    <w:rsid w:val="49F66D6E"/>
    <w:rsid w:val="49FF41D3"/>
    <w:rsid w:val="4A02381D"/>
    <w:rsid w:val="4A3A747E"/>
    <w:rsid w:val="4A58168F"/>
    <w:rsid w:val="4AB035BD"/>
    <w:rsid w:val="4AC960E9"/>
    <w:rsid w:val="4AFD3FE5"/>
    <w:rsid w:val="4B0B62AC"/>
    <w:rsid w:val="4B0C431D"/>
    <w:rsid w:val="4B5A4B24"/>
    <w:rsid w:val="4BAB56F9"/>
    <w:rsid w:val="4BC92119"/>
    <w:rsid w:val="4BCB0395"/>
    <w:rsid w:val="4BE066CA"/>
    <w:rsid w:val="4BE068DB"/>
    <w:rsid w:val="4BF6002B"/>
    <w:rsid w:val="4BFFC6BE"/>
    <w:rsid w:val="4C59349D"/>
    <w:rsid w:val="4D126CF6"/>
    <w:rsid w:val="4D3D691B"/>
    <w:rsid w:val="4D7204C6"/>
    <w:rsid w:val="4DC52D87"/>
    <w:rsid w:val="4DE8217F"/>
    <w:rsid w:val="4E975520"/>
    <w:rsid w:val="4E9E5ADF"/>
    <w:rsid w:val="4ECE2238"/>
    <w:rsid w:val="4F5F526E"/>
    <w:rsid w:val="4FD80B7D"/>
    <w:rsid w:val="4FED4628"/>
    <w:rsid w:val="4FF44BC5"/>
    <w:rsid w:val="501716A5"/>
    <w:rsid w:val="50174CE9"/>
    <w:rsid w:val="504601DC"/>
    <w:rsid w:val="50485D02"/>
    <w:rsid w:val="504B134F"/>
    <w:rsid w:val="50527777"/>
    <w:rsid w:val="50CA2BBB"/>
    <w:rsid w:val="50CF01D2"/>
    <w:rsid w:val="50DD469C"/>
    <w:rsid w:val="51183927"/>
    <w:rsid w:val="5119769F"/>
    <w:rsid w:val="51450494"/>
    <w:rsid w:val="51B41A29"/>
    <w:rsid w:val="51DA0BDC"/>
    <w:rsid w:val="51DB4B86"/>
    <w:rsid w:val="51F64DB0"/>
    <w:rsid w:val="524D5852"/>
    <w:rsid w:val="52A35472"/>
    <w:rsid w:val="52F408E2"/>
    <w:rsid w:val="533D7674"/>
    <w:rsid w:val="5381734F"/>
    <w:rsid w:val="53D14261"/>
    <w:rsid w:val="53E67D0C"/>
    <w:rsid w:val="53E73A84"/>
    <w:rsid w:val="54912745"/>
    <w:rsid w:val="549A4653"/>
    <w:rsid w:val="549F2447"/>
    <w:rsid w:val="54C53DC5"/>
    <w:rsid w:val="54EB4EAE"/>
    <w:rsid w:val="551D0510"/>
    <w:rsid w:val="55333C3E"/>
    <w:rsid w:val="55D02A22"/>
    <w:rsid w:val="55F9755F"/>
    <w:rsid w:val="560E68BE"/>
    <w:rsid w:val="564D77F8"/>
    <w:rsid w:val="565C6063"/>
    <w:rsid w:val="56C43C09"/>
    <w:rsid w:val="5728063B"/>
    <w:rsid w:val="577E202E"/>
    <w:rsid w:val="57A20CD2"/>
    <w:rsid w:val="57F22DFC"/>
    <w:rsid w:val="58496ABB"/>
    <w:rsid w:val="58913FBE"/>
    <w:rsid w:val="589A10C5"/>
    <w:rsid w:val="58B44CED"/>
    <w:rsid w:val="58F85DEC"/>
    <w:rsid w:val="590429E2"/>
    <w:rsid w:val="59656C1C"/>
    <w:rsid w:val="59723DF0"/>
    <w:rsid w:val="597731B4"/>
    <w:rsid w:val="5A13112F"/>
    <w:rsid w:val="5A385032"/>
    <w:rsid w:val="5A53777D"/>
    <w:rsid w:val="5AFE1DDF"/>
    <w:rsid w:val="5B750FA2"/>
    <w:rsid w:val="5B8027F4"/>
    <w:rsid w:val="5B8147BE"/>
    <w:rsid w:val="5B8A5421"/>
    <w:rsid w:val="5B9B36F9"/>
    <w:rsid w:val="5BA77395"/>
    <w:rsid w:val="5BDE6302"/>
    <w:rsid w:val="5BFC5BF3"/>
    <w:rsid w:val="5C163158"/>
    <w:rsid w:val="5C8B76A2"/>
    <w:rsid w:val="5C9F4EFC"/>
    <w:rsid w:val="5D071601"/>
    <w:rsid w:val="5D414205"/>
    <w:rsid w:val="5D50269A"/>
    <w:rsid w:val="5D683540"/>
    <w:rsid w:val="5D6B13A2"/>
    <w:rsid w:val="5DFF2EEE"/>
    <w:rsid w:val="5E781EA8"/>
    <w:rsid w:val="5EC27AD6"/>
    <w:rsid w:val="5EE035AA"/>
    <w:rsid w:val="5EEB267A"/>
    <w:rsid w:val="5F630463"/>
    <w:rsid w:val="5F67802D"/>
    <w:rsid w:val="5F7DC4F2"/>
    <w:rsid w:val="5F9742B8"/>
    <w:rsid w:val="5FB213EA"/>
    <w:rsid w:val="5FB36814"/>
    <w:rsid w:val="5FBB8E56"/>
    <w:rsid w:val="5FEA0B84"/>
    <w:rsid w:val="5FFB5535"/>
    <w:rsid w:val="605E6E7C"/>
    <w:rsid w:val="606A75CF"/>
    <w:rsid w:val="607E307A"/>
    <w:rsid w:val="60DB11B6"/>
    <w:rsid w:val="61314591"/>
    <w:rsid w:val="61BB4A60"/>
    <w:rsid w:val="61D03DA9"/>
    <w:rsid w:val="61D07906"/>
    <w:rsid w:val="61DC274E"/>
    <w:rsid w:val="61DE4F72"/>
    <w:rsid w:val="61EE439A"/>
    <w:rsid w:val="62244680"/>
    <w:rsid w:val="62284842"/>
    <w:rsid w:val="62353C0D"/>
    <w:rsid w:val="627B4140"/>
    <w:rsid w:val="62943029"/>
    <w:rsid w:val="629F37F4"/>
    <w:rsid w:val="62A019CE"/>
    <w:rsid w:val="62B9484F"/>
    <w:rsid w:val="62F07ECA"/>
    <w:rsid w:val="63092D9F"/>
    <w:rsid w:val="63251ED3"/>
    <w:rsid w:val="635C3B47"/>
    <w:rsid w:val="64155AA4"/>
    <w:rsid w:val="642D55E5"/>
    <w:rsid w:val="649C7F73"/>
    <w:rsid w:val="64CA39A1"/>
    <w:rsid w:val="64CC17CA"/>
    <w:rsid w:val="651803B4"/>
    <w:rsid w:val="65403409"/>
    <w:rsid w:val="65534AD5"/>
    <w:rsid w:val="657C227E"/>
    <w:rsid w:val="65A6554D"/>
    <w:rsid w:val="65AF71F8"/>
    <w:rsid w:val="65F957F4"/>
    <w:rsid w:val="668C09F4"/>
    <w:rsid w:val="66DC1A0E"/>
    <w:rsid w:val="66F67C27"/>
    <w:rsid w:val="67543A64"/>
    <w:rsid w:val="67A5546D"/>
    <w:rsid w:val="67C16089"/>
    <w:rsid w:val="67D068B1"/>
    <w:rsid w:val="67F668E5"/>
    <w:rsid w:val="683E7CBF"/>
    <w:rsid w:val="688D6550"/>
    <w:rsid w:val="68AC7F17"/>
    <w:rsid w:val="68E2545D"/>
    <w:rsid w:val="68EB2D98"/>
    <w:rsid w:val="68ED0CA1"/>
    <w:rsid w:val="69200ED4"/>
    <w:rsid w:val="692E43C8"/>
    <w:rsid w:val="694560E9"/>
    <w:rsid w:val="69630ADE"/>
    <w:rsid w:val="69B63885"/>
    <w:rsid w:val="69BD5F13"/>
    <w:rsid w:val="69D00DEB"/>
    <w:rsid w:val="69FB0B4B"/>
    <w:rsid w:val="6A4175F2"/>
    <w:rsid w:val="6A4952CE"/>
    <w:rsid w:val="6A5135AE"/>
    <w:rsid w:val="6A75729C"/>
    <w:rsid w:val="6A892075"/>
    <w:rsid w:val="6AED777A"/>
    <w:rsid w:val="6B030D4C"/>
    <w:rsid w:val="6B833C3B"/>
    <w:rsid w:val="6BBB5183"/>
    <w:rsid w:val="6BFFE1FB"/>
    <w:rsid w:val="6C2009A2"/>
    <w:rsid w:val="6C273D29"/>
    <w:rsid w:val="6C4159B2"/>
    <w:rsid w:val="6C4A05C8"/>
    <w:rsid w:val="6C5C26B6"/>
    <w:rsid w:val="6C6770B8"/>
    <w:rsid w:val="6C8B2DA7"/>
    <w:rsid w:val="6CB467A2"/>
    <w:rsid w:val="6CE801F9"/>
    <w:rsid w:val="6D033BB2"/>
    <w:rsid w:val="6D3B1A89"/>
    <w:rsid w:val="6DB7D8A3"/>
    <w:rsid w:val="6E0077C5"/>
    <w:rsid w:val="6E296D1B"/>
    <w:rsid w:val="6E313E22"/>
    <w:rsid w:val="6EC78701"/>
    <w:rsid w:val="6F213E96"/>
    <w:rsid w:val="6F7A5481"/>
    <w:rsid w:val="6FD607DD"/>
    <w:rsid w:val="6FFE07A9"/>
    <w:rsid w:val="70136BB3"/>
    <w:rsid w:val="70225824"/>
    <w:rsid w:val="70BE158F"/>
    <w:rsid w:val="70DC62C7"/>
    <w:rsid w:val="70E062F9"/>
    <w:rsid w:val="71072C18"/>
    <w:rsid w:val="71687B5B"/>
    <w:rsid w:val="71BF4EC2"/>
    <w:rsid w:val="721624A5"/>
    <w:rsid w:val="725400DF"/>
    <w:rsid w:val="72733485"/>
    <w:rsid w:val="72734D90"/>
    <w:rsid w:val="72A2006A"/>
    <w:rsid w:val="72AE3C93"/>
    <w:rsid w:val="73337CF4"/>
    <w:rsid w:val="73504D4A"/>
    <w:rsid w:val="735D4A2D"/>
    <w:rsid w:val="735F4F8D"/>
    <w:rsid w:val="73683E42"/>
    <w:rsid w:val="739015EB"/>
    <w:rsid w:val="739E5AB6"/>
    <w:rsid w:val="73A806E2"/>
    <w:rsid w:val="73E75B71"/>
    <w:rsid w:val="7412278C"/>
    <w:rsid w:val="74E25E76"/>
    <w:rsid w:val="74EE1B48"/>
    <w:rsid w:val="74F636CF"/>
    <w:rsid w:val="751853F4"/>
    <w:rsid w:val="751C1388"/>
    <w:rsid w:val="75295853"/>
    <w:rsid w:val="75722D56"/>
    <w:rsid w:val="757C3BD5"/>
    <w:rsid w:val="7592164A"/>
    <w:rsid w:val="75DDCDA9"/>
    <w:rsid w:val="75FF44B1"/>
    <w:rsid w:val="7662726E"/>
    <w:rsid w:val="76726D86"/>
    <w:rsid w:val="769136B0"/>
    <w:rsid w:val="76947BEA"/>
    <w:rsid w:val="76A65F0B"/>
    <w:rsid w:val="76C8461F"/>
    <w:rsid w:val="773407FB"/>
    <w:rsid w:val="77670518"/>
    <w:rsid w:val="777FA627"/>
    <w:rsid w:val="77DF1B5F"/>
    <w:rsid w:val="77EF2D9D"/>
    <w:rsid w:val="77F55EC0"/>
    <w:rsid w:val="782D11B6"/>
    <w:rsid w:val="78393FFF"/>
    <w:rsid w:val="786170B2"/>
    <w:rsid w:val="78D17319"/>
    <w:rsid w:val="796B468C"/>
    <w:rsid w:val="796C21B2"/>
    <w:rsid w:val="79A25BD4"/>
    <w:rsid w:val="79E7B28D"/>
    <w:rsid w:val="7A067F11"/>
    <w:rsid w:val="7AC34054"/>
    <w:rsid w:val="7ACB3290"/>
    <w:rsid w:val="7ACFF0C2"/>
    <w:rsid w:val="7AFB9108"/>
    <w:rsid w:val="7B0A1C83"/>
    <w:rsid w:val="7B566C76"/>
    <w:rsid w:val="7B755DEB"/>
    <w:rsid w:val="7BD5340C"/>
    <w:rsid w:val="7BFB19D2"/>
    <w:rsid w:val="7BFD1750"/>
    <w:rsid w:val="7BFDAA1B"/>
    <w:rsid w:val="7C330D65"/>
    <w:rsid w:val="7C9537CE"/>
    <w:rsid w:val="7CDF9A82"/>
    <w:rsid w:val="7CFFA1BD"/>
    <w:rsid w:val="7D036989"/>
    <w:rsid w:val="7D2E3F7A"/>
    <w:rsid w:val="7D5C4288"/>
    <w:rsid w:val="7D5F2576"/>
    <w:rsid w:val="7D75394F"/>
    <w:rsid w:val="7D7B6E68"/>
    <w:rsid w:val="7DAE61B3"/>
    <w:rsid w:val="7DEB7B49"/>
    <w:rsid w:val="7DED9490"/>
    <w:rsid w:val="7DFF4872"/>
    <w:rsid w:val="7E0B1F99"/>
    <w:rsid w:val="7E7487E6"/>
    <w:rsid w:val="7E7C2463"/>
    <w:rsid w:val="7E7C2A54"/>
    <w:rsid w:val="7E886AB9"/>
    <w:rsid w:val="7EC860DC"/>
    <w:rsid w:val="7EEA7E01"/>
    <w:rsid w:val="7EEEFD72"/>
    <w:rsid w:val="7F1D517C"/>
    <w:rsid w:val="7F207CC7"/>
    <w:rsid w:val="7F4E65E2"/>
    <w:rsid w:val="7F5757F8"/>
    <w:rsid w:val="7F5DA057"/>
    <w:rsid w:val="7F6C2237"/>
    <w:rsid w:val="7F777DF7"/>
    <w:rsid w:val="7F7F319B"/>
    <w:rsid w:val="7F9F20EE"/>
    <w:rsid w:val="7FB92593"/>
    <w:rsid w:val="7FBBE890"/>
    <w:rsid w:val="7FBC2ABD"/>
    <w:rsid w:val="7FBF5D48"/>
    <w:rsid w:val="7FC20D7E"/>
    <w:rsid w:val="7FCCFC01"/>
    <w:rsid w:val="7FDD1748"/>
    <w:rsid w:val="7FDD5BB8"/>
    <w:rsid w:val="7FE769C6"/>
    <w:rsid w:val="7FF9458D"/>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1"/>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Body Text"/>
    <w:basedOn w:val="1"/>
    <w:link w:val="24"/>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0"/>
    <w:semiHidden/>
    <w:unhideWhenUsed/>
    <w:qFormat/>
    <w:uiPriority w:val="99"/>
    <w:rPr>
      <w:sz w:val="18"/>
      <w:szCs w:val="18"/>
    </w:rPr>
  </w:style>
  <w:style w:type="paragraph" w:styleId="9">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Body Text First Indent 2"/>
    <w:basedOn w:val="6"/>
    <w:unhideWhenUsed/>
    <w:qFormat/>
    <w:uiPriority w:val="99"/>
    <w:pPr>
      <w:ind w:firstLine="420" w:firstLineChars="20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paragraph" w:customStyle="1" w:styleId="18">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19">
    <w:name w:val="Header Char"/>
    <w:basedOn w:val="15"/>
    <w:semiHidden/>
    <w:qFormat/>
    <w:uiPriority w:val="99"/>
    <w:rPr>
      <w:rFonts w:ascii="Times New Roman" w:hAnsi="Times New Roman"/>
      <w:sz w:val="18"/>
      <w:szCs w:val="18"/>
    </w:rPr>
  </w:style>
  <w:style w:type="character" w:customStyle="1" w:styleId="20">
    <w:name w:val="页眉 字符"/>
    <w:link w:val="10"/>
    <w:semiHidden/>
    <w:qFormat/>
    <w:locked/>
    <w:uiPriority w:val="99"/>
    <w:rPr>
      <w:sz w:val="18"/>
    </w:rPr>
  </w:style>
  <w:style w:type="character" w:customStyle="1" w:styleId="21">
    <w:name w:val="Footer Char"/>
    <w:basedOn w:val="15"/>
    <w:semiHidden/>
    <w:qFormat/>
    <w:uiPriority w:val="99"/>
    <w:rPr>
      <w:rFonts w:ascii="Times New Roman" w:hAnsi="Times New Roman"/>
      <w:sz w:val="18"/>
      <w:szCs w:val="18"/>
    </w:rPr>
  </w:style>
  <w:style w:type="character" w:customStyle="1" w:styleId="22">
    <w:name w:val="页脚 字符"/>
    <w:link w:val="9"/>
    <w:qFormat/>
    <w:locked/>
    <w:uiPriority w:val="99"/>
    <w:rPr>
      <w:sz w:val="18"/>
    </w:rPr>
  </w:style>
  <w:style w:type="character" w:customStyle="1" w:styleId="23">
    <w:name w:val="Body Text Char"/>
    <w:basedOn w:val="15"/>
    <w:semiHidden/>
    <w:qFormat/>
    <w:uiPriority w:val="99"/>
    <w:rPr>
      <w:rFonts w:ascii="Times New Roman" w:hAnsi="Times New Roman"/>
      <w:szCs w:val="24"/>
    </w:rPr>
  </w:style>
  <w:style w:type="character" w:customStyle="1" w:styleId="24">
    <w:name w:val="正文文本 字符"/>
    <w:link w:val="2"/>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character" w:customStyle="1" w:styleId="27">
    <w:name w:val="标题 1 字符"/>
    <w:basedOn w:val="15"/>
    <w:link w:val="3"/>
    <w:qFormat/>
    <w:uiPriority w:val="9"/>
    <w:rPr>
      <w:rFonts w:ascii="Times New Roman" w:hAnsi="Times New Roman"/>
      <w:b/>
      <w:bCs/>
      <w:kern w:val="44"/>
      <w:sz w:val="44"/>
      <w:szCs w:val="44"/>
    </w:rPr>
  </w:style>
  <w:style w:type="character" w:customStyle="1" w:styleId="28">
    <w:name w:val="标题 2 字符"/>
    <w:basedOn w:val="15"/>
    <w:link w:val="4"/>
    <w:qFormat/>
    <w:uiPriority w:val="9"/>
    <w:rPr>
      <w:rFonts w:asciiTheme="majorHAnsi" w:hAnsiTheme="majorHAnsi" w:eastAsiaTheme="majorEastAsia" w:cstheme="majorBidi"/>
      <w:b/>
      <w:bCs/>
      <w:kern w:val="2"/>
      <w:sz w:val="32"/>
      <w:szCs w:val="32"/>
    </w:rPr>
  </w:style>
  <w:style w:type="paragraph" w:customStyle="1" w:styleId="2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框文本 字符"/>
    <w:basedOn w:val="15"/>
    <w:link w:val="8"/>
    <w:semiHidden/>
    <w:qFormat/>
    <w:uiPriority w:val="99"/>
    <w:rPr>
      <w:rFonts w:ascii="Times New Roman" w:hAnsi="Times New Roman"/>
      <w:kern w:val="2"/>
      <w:sz w:val="18"/>
      <w:szCs w:val="18"/>
    </w:rPr>
  </w:style>
  <w:style w:type="character" w:customStyle="1" w:styleId="31">
    <w:name w:val="标题 3 字符"/>
    <w:basedOn w:val="15"/>
    <w:link w:val="5"/>
    <w:qFormat/>
    <w:uiPriority w:val="9"/>
    <w:rPr>
      <w:rFonts w:ascii="Times New Roman" w:hAnsi="Times New Roman"/>
      <w:b/>
      <w:bCs/>
      <w:kern w:val="2"/>
      <w:sz w:val="32"/>
      <w:szCs w:val="32"/>
    </w:rPr>
  </w:style>
  <w:style w:type="paragraph" w:customStyle="1" w:styleId="3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5.png"/><Relationship Id="rId33" Type="http://schemas.openxmlformats.org/officeDocument/2006/relationships/image" Target="media/image4.png"/><Relationship Id="rId32" Type="http://schemas.openxmlformats.org/officeDocument/2006/relationships/image" Target="media/image3.png"/><Relationship Id="rId31" Type="http://schemas.openxmlformats.org/officeDocument/2006/relationships/image" Target="media/image2.png"/><Relationship Id="rId30" Type="http://schemas.openxmlformats.org/officeDocument/2006/relationships/image" Target="media/image1.png"/><Relationship Id="rId3" Type="http://schemas.openxmlformats.org/officeDocument/2006/relationships/header" Target="header1.xml"/><Relationship Id="rId29" Type="http://schemas.openxmlformats.org/officeDocument/2006/relationships/chart" Target="charts/chart7.xml"/><Relationship Id="rId28" Type="http://schemas.openxmlformats.org/officeDocument/2006/relationships/chart" Target="charts/chart6.xml"/><Relationship Id="rId27" Type="http://schemas.openxmlformats.org/officeDocument/2006/relationships/chart" Target="charts/chart5.xml"/><Relationship Id="rId26" Type="http://schemas.openxmlformats.org/officeDocument/2006/relationships/chart" Target="charts/chart4.xml"/><Relationship Id="rId25" Type="http://schemas.openxmlformats.org/officeDocument/2006/relationships/chart" Target="charts/chart3.xml"/><Relationship Id="rId24" Type="http://schemas.openxmlformats.org/officeDocument/2006/relationships/chart" Target="charts/chart2.xml"/><Relationship Id="rId23" Type="http://schemas.openxmlformats.org/officeDocument/2006/relationships/chart" Target="charts/chart1.xml"/><Relationship Id="rId22" Type="http://schemas.openxmlformats.org/officeDocument/2006/relationships/theme" Target="theme/theme1.xml"/><Relationship Id="rId21" Type="http://schemas.openxmlformats.org/officeDocument/2006/relationships/footer" Target="footer12.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spc="0" baseline="0">
                <a:solidFill>
                  <a:sysClr val="windowText" lastClr="000000"/>
                </a:solidFill>
                <a:latin typeface="+mn-lt"/>
                <a:ea typeface="+mn-ea"/>
                <a:cs typeface="+mn-cs"/>
              </a:defRPr>
            </a:pPr>
            <a:r>
              <a:rPr b="1">
                <a:solidFill>
                  <a:srgbClr val="FF0000"/>
                </a:solidFill>
              </a:rPr>
              <a:t>收支决算总计变动情况图</a:t>
            </a:r>
            <a:endParaRPr b="1">
              <a:solidFill>
                <a:sysClr val="windowText" lastClr="000000"/>
              </a:solidFill>
            </a:endParaRPr>
          </a:p>
          <a:p>
            <a:pPr defTabSz="914400">
              <a:defRPr lang="zh-CN" sz="1400" b="1" i="0" u="none" strike="noStrike" kern="1200" spc="0" baseline="0">
                <a:solidFill>
                  <a:sysClr val="windowText" lastClr="000000"/>
                </a:solidFill>
                <a:latin typeface="+mn-lt"/>
                <a:ea typeface="+mn-ea"/>
                <a:cs typeface="+mn-cs"/>
              </a:defRPr>
            </a:pPr>
            <a:r>
              <a:rPr b="0">
                <a:solidFill>
                  <a:sysClr val="windowText" lastClr="000000"/>
                </a:solidFill>
              </a:rPr>
              <a:t>（单位：万元）</a:t>
            </a:r>
            <a:endParaRPr b="0">
              <a:solidFill>
                <a:sysClr val="windowText" lastClr="000000"/>
              </a:solidFill>
            </a:endParaRPr>
          </a:p>
        </c:rich>
      </c:tx>
      <c:layout/>
      <c:overlay val="0"/>
      <c:spPr>
        <a:noFill/>
        <a:ln>
          <a:noFill/>
        </a:ln>
        <a:effectLst/>
      </c:spPr>
    </c:title>
    <c:autoTitleDeleted val="0"/>
    <c:plotArea>
      <c:layout>
        <c:manualLayout>
          <c:layoutTarget val="inner"/>
          <c:xMode val="edge"/>
          <c:yMode val="edge"/>
          <c:x val="0.0787"/>
          <c:y val="0.1805"/>
          <c:w val="0.8938"/>
          <c:h val="0.6609"/>
        </c:manualLayout>
      </c:layout>
      <c:barChart>
        <c:barDir val="col"/>
        <c:grouping val="clustered"/>
        <c:varyColors val="0"/>
        <c:ser>
          <c:idx val="0"/>
          <c:order val="0"/>
          <c:tx>
            <c:strRef>
              <c:f>Sheet1!$B$1</c:f>
              <c:strCache>
                <c:ptCount val="1"/>
                <c:pt idx="0">
                  <c:v>收入</c:v>
                </c:pt>
              </c:strCache>
            </c:strRef>
          </c:tx>
          <c:spPr>
            <a:solidFill>
              <a:schemeClr val="accent1"/>
            </a:solidFill>
            <a:ln>
              <a:noFill/>
            </a:ln>
            <a:effectLst/>
          </c:spPr>
          <c:invertIfNegative val="0"/>
          <c:dLbls>
            <c:delete val="1"/>
          </c:dLbls>
          <c:cat>
            <c:strRef>
              <c:f>Sheet1!$A$2:$A$3</c:f>
              <c:strCache>
                <c:ptCount val="2"/>
                <c:pt idx="0">
                  <c:v>2023年度</c:v>
                </c:pt>
                <c:pt idx="1">
                  <c:v>2022年度</c:v>
                </c:pt>
              </c:strCache>
            </c:strRef>
          </c:cat>
          <c:val>
            <c:numRef>
              <c:f>Sheet1!$B$2:$B$3</c:f>
              <c:numCache>
                <c:formatCode>General</c:formatCode>
                <c:ptCount val="2"/>
                <c:pt idx="0">
                  <c:v>1095.85</c:v>
                </c:pt>
                <c:pt idx="1">
                  <c:v>1145.14</c:v>
                </c:pt>
              </c:numCache>
            </c:numRef>
          </c:val>
        </c:ser>
        <c:ser>
          <c:idx val="1"/>
          <c:order val="1"/>
          <c:tx>
            <c:strRef>
              <c:f>Sheet1!$C$1</c:f>
              <c:strCache>
                <c:ptCount val="1"/>
                <c:pt idx="0">
                  <c:v>支出</c:v>
                </c:pt>
              </c:strCache>
            </c:strRef>
          </c:tx>
          <c:spPr>
            <a:solidFill>
              <a:schemeClr val="accent2"/>
            </a:solidFill>
            <a:ln>
              <a:noFill/>
            </a:ln>
            <a:effectLst/>
          </c:spPr>
          <c:invertIfNegative val="0"/>
          <c:dLbls>
            <c:delete val="1"/>
          </c:dLbls>
          <c:cat>
            <c:strRef>
              <c:f>Sheet1!$A$2:$A$3</c:f>
              <c:strCache>
                <c:ptCount val="2"/>
                <c:pt idx="0">
                  <c:v>2023年度</c:v>
                </c:pt>
                <c:pt idx="1">
                  <c:v>2022年度</c:v>
                </c:pt>
              </c:strCache>
            </c:strRef>
          </c:cat>
          <c:val>
            <c:numRef>
              <c:f>Sheet1!$C$2:$C$3</c:f>
              <c:numCache>
                <c:formatCode>General</c:formatCode>
                <c:ptCount val="2"/>
                <c:pt idx="0">
                  <c:v>1095.85</c:v>
                </c:pt>
                <c:pt idx="1">
                  <c:v>1145.14</c:v>
                </c:pt>
              </c:numCache>
            </c:numRef>
          </c:val>
        </c:ser>
        <c:dLbls>
          <c:showLegendKey val="0"/>
          <c:showVal val="0"/>
          <c:showCatName val="0"/>
          <c:showSerName val="0"/>
          <c:showPercent val="0"/>
          <c:showBubbleSize val="0"/>
        </c:dLbls>
        <c:gapWidth val="219"/>
        <c:overlap val="-27"/>
        <c:axId val="301464110"/>
        <c:axId val="451999640"/>
      </c:barChart>
      <c:catAx>
        <c:axId val="30146411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1" i="0" u="none" strike="noStrike" kern="1200" baseline="0">
                <a:solidFill>
                  <a:sysClr val="windowText" lastClr="000000"/>
                </a:solidFill>
                <a:latin typeface="+mn-lt"/>
                <a:ea typeface="+mn-ea"/>
                <a:cs typeface="+mn-cs"/>
              </a:defRPr>
            </a:pPr>
          </a:p>
        </c:txPr>
        <c:crossAx val="451999640"/>
        <c:crosses val="autoZero"/>
        <c:auto val="1"/>
        <c:lblAlgn val="ctr"/>
        <c:lblOffset val="100"/>
        <c:noMultiLvlLbl val="0"/>
      </c:catAx>
      <c:valAx>
        <c:axId val="4519996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1" i="0" u="none" strike="noStrike" kern="1200" baseline="0">
                <a:solidFill>
                  <a:sysClr val="windowText" lastClr="000000"/>
                </a:solidFill>
                <a:latin typeface="+mn-lt"/>
                <a:ea typeface="+mn-ea"/>
                <a:cs typeface="+mn-cs"/>
              </a:defRPr>
            </a:pPr>
          </a:p>
        </c:txPr>
        <c:crossAx val="301464110"/>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1"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900" b="1"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1"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b="1">
          <a:solidFill>
            <a:srgbClr val="FF0000"/>
          </a:solidFill>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tx>
            <c:strRef>
              <c:f>Sheet1!$B$1</c:f>
              <c:strCache>
                <c:ptCount val="1"/>
                <c:pt idx="0">
                  <c:v>收入决算结构图</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Pt>
            <c:idx val="2"/>
            <c:bubble3D val="0"/>
            <c:spPr>
              <a:solidFill>
                <a:schemeClr val="accent3"/>
              </a:solidFill>
              <a:ln>
                <a:noFill/>
              </a:ln>
              <a:effectLst/>
            </c:spPr>
          </c:dPt>
          <c:dPt>
            <c:idx val="3"/>
            <c:bubble3D val="0"/>
            <c:spPr>
              <a:solidFill>
                <a:schemeClr val="accent4"/>
              </a:solidFill>
              <a:ln>
                <a:noFill/>
              </a:ln>
              <a:effectLst/>
            </c:spPr>
          </c:dPt>
          <c:dPt>
            <c:idx val="4"/>
            <c:bubble3D val="0"/>
            <c:spPr>
              <a:solidFill>
                <a:schemeClr val="accent5"/>
              </a:solidFill>
              <a:ln>
                <a:noFill/>
              </a:ln>
              <a:effectLst/>
            </c:spPr>
          </c:dPt>
          <c:dPt>
            <c:idx val="5"/>
            <c:bubble3D val="0"/>
            <c:spPr>
              <a:solidFill>
                <a:schemeClr val="accent6"/>
              </a:solidFill>
              <a:ln>
                <a:noFill/>
              </a:ln>
              <a:effectLst/>
            </c:spPr>
          </c:dPt>
          <c:dPt>
            <c:idx val="6"/>
            <c:bubble3D val="0"/>
            <c:spPr>
              <a:solidFill>
                <a:schemeClr val="accent1">
                  <a:lumMod val="60000"/>
                </a:schemeClr>
              </a:solidFill>
              <a:ln>
                <a:noFill/>
              </a:ln>
              <a:effectLst/>
            </c:spPr>
          </c:dPt>
          <c:dPt>
            <c:idx val="7"/>
            <c:bubble3D val="0"/>
            <c:spPr>
              <a:solidFill>
                <a:schemeClr val="accent2">
                  <a:lumMod val="60000"/>
                </a:schemeClr>
              </a:solidFill>
              <a:ln>
                <a:noFill/>
              </a:ln>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Sheet1!$B$2:$B$9</c:f>
              <c:numCache>
                <c:formatCode>General</c:formatCode>
                <c:ptCount val="8"/>
                <c:pt idx="0">
                  <c:v>1095.85</c:v>
                </c:pt>
                <c:pt idx="1">
                  <c:v>0</c:v>
                </c:pt>
                <c:pt idx="2">
                  <c:v>0</c:v>
                </c:pt>
                <c:pt idx="3">
                  <c:v>0</c:v>
                </c:pt>
                <c:pt idx="4">
                  <c:v>0</c:v>
                </c:pt>
                <c:pt idx="5">
                  <c:v>0</c:v>
                </c:pt>
                <c:pt idx="6">
                  <c:v>0</c:v>
                </c:pt>
                <c:pt idx="7">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sz="1500" b="1">
                <a:solidFill>
                  <a:srgbClr val="FF0000"/>
                </a:solidFill>
              </a:rPr>
              <a:t>支出决算结构图</a:t>
            </a:r>
            <a:endParaRPr sz="1500" b="1">
              <a:solidFill>
                <a:srgbClr val="FF0000"/>
              </a:solidFill>
            </a:endParaRPr>
          </a:p>
        </c:rich>
      </c:tx>
      <c:layout/>
      <c:overlay val="0"/>
      <c:spPr>
        <a:noFill/>
        <a:ln>
          <a:noFill/>
        </a:ln>
        <a:effectLst/>
      </c:sp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0.00%</c:formatCode>
                <c:ptCount val="5"/>
                <c:pt idx="0">
                  <c:v>0.6864</c:v>
                </c:pt>
                <c:pt idx="1">
                  <c:v>0.3135</c:v>
                </c:pt>
                <c:pt idx="2" c:formatCode="General">
                  <c:v>0</c:v>
                </c:pt>
                <c:pt idx="3" c:formatCode="General">
                  <c:v>0</c:v>
                </c:pt>
                <c:pt idx="4" c:formatCode="General">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1"/>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3"/>
        <c:txPr>
          <a:bodyPr rot="0" spcFirstLastPara="0" vertOverflow="ellipsis" vert="horz" wrap="square" anchor="ctr" anchorCtr="1"/>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4"/>
        <c:txPr>
          <a:bodyPr rot="0" spcFirstLastPara="0" vertOverflow="ellipsis" vert="horz" wrap="square" anchor="ctr" anchorCtr="1"/>
          <a:lstStyle/>
          <a:p>
            <a:pPr>
              <a:defRPr lang="zh-CN" sz="900" b="1"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1"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b="1"/>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ysClr val="windowText" lastClr="000000"/>
                </a:solidFill>
                <a:latin typeface="+mn-lt"/>
                <a:ea typeface="+mn-ea"/>
                <a:cs typeface="+mn-cs"/>
              </a:defRPr>
            </a:pPr>
            <a:r>
              <a:rPr>
                <a:solidFill>
                  <a:srgbClr val="FF0000"/>
                </a:solidFill>
              </a:rPr>
              <a:t>财政拨款收、支决算总计变动情况（单位：万元）</a:t>
            </a:r>
            <a:endParaRPr>
              <a:solidFill>
                <a:srgbClr val="FF0000"/>
              </a:solidFill>
            </a:endParaRP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财政拨款收入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2023年度</c:v>
                </c:pt>
                <c:pt idx="1">
                  <c:v>2022年度</c:v>
                </c:pt>
              </c:strCache>
            </c:strRef>
          </c:cat>
          <c:val>
            <c:numRef>
              <c:f>Sheet1!$B$2:$B$3</c:f>
              <c:numCache>
                <c:formatCode>General</c:formatCode>
                <c:ptCount val="2"/>
                <c:pt idx="0">
                  <c:v>1095.85</c:v>
                </c:pt>
                <c:pt idx="1">
                  <c:v>1145.14</c:v>
                </c:pt>
              </c:numCache>
            </c:numRef>
          </c:val>
        </c:ser>
        <c:ser>
          <c:idx val="1"/>
          <c:order val="1"/>
          <c:tx>
            <c:strRef>
              <c:f>Sheet1!$C$1</c:f>
              <c:strCache>
                <c:ptCount val="1"/>
                <c:pt idx="0">
                  <c:v>财政拨款支出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2023年度</c:v>
                </c:pt>
                <c:pt idx="1">
                  <c:v>2022年度</c:v>
                </c:pt>
              </c:strCache>
            </c:strRef>
          </c:cat>
          <c:val>
            <c:numRef>
              <c:f>Sheet1!$C$2:$C$3</c:f>
              <c:numCache>
                <c:formatCode>General</c:formatCode>
                <c:ptCount val="2"/>
                <c:pt idx="0">
                  <c:v>1095.85</c:v>
                </c:pt>
                <c:pt idx="1">
                  <c:v>1145.14</c:v>
                </c:pt>
              </c:numCache>
            </c:numRef>
          </c:val>
        </c:ser>
        <c:ser>
          <c:idx val="2"/>
          <c:order val="2"/>
          <c:tx>
            <c:strRef>
              <c:f>Sheet1!#REF!</c:f>
              <c:strCache>
                <c:ptCount val="1"/>
                <c:pt idx="0">
                  <c:v/>
                </c:pt>
              </c:strCache>
            </c:strRef>
          </c:tx>
          <c:spPr>
            <a:solidFill>
              <a:schemeClr val="accent3">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2023年度</c:v>
                </c:pt>
                <c:pt idx="1">
                  <c:v>2022年度</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65"/>
        <c:overlap val="0"/>
        <c:axId val="75350552"/>
        <c:axId val="498622201"/>
      </c:barChart>
      <c:catAx>
        <c:axId val="75350552"/>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ysClr val="windowText" lastClr="000000"/>
                </a:solidFill>
                <a:latin typeface="+mn-lt"/>
                <a:ea typeface="+mn-ea"/>
                <a:cs typeface="+mn-cs"/>
              </a:defRPr>
            </a:pPr>
          </a:p>
        </c:txPr>
        <c:crossAx val="498622201"/>
        <c:crosses val="autoZero"/>
        <c:auto val="1"/>
        <c:lblAlgn val="ctr"/>
        <c:lblOffset val="100"/>
        <c:noMultiLvlLbl val="0"/>
      </c:catAx>
      <c:valAx>
        <c:axId val="498622201"/>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75350552"/>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2"/>
        <c:delete val="1"/>
      </c:legendEntry>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dk1">
          <a:lumMod val="25000"/>
          <a:lumOff val="75000"/>
        </a:schemeClr>
      </a:solidFill>
      <a:round/>
    </a:ln>
    <a:effectLst/>
  </c:spPr>
  <c:txPr>
    <a:bodyPr/>
    <a:lstStyle/>
    <a:p>
      <a:pPr>
        <a:defRPr lang="zh-CN">
          <a:solidFill>
            <a:sysClr val="windowText" lastClr="000000"/>
          </a:solidFill>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rgbClr val="FF0000"/>
                </a:solidFill>
                <a:latin typeface="+mn-lt"/>
                <a:ea typeface="+mn-ea"/>
                <a:cs typeface="+mn-cs"/>
              </a:defRPr>
            </a:pPr>
            <a:r>
              <a:rPr altLang="en-US">
                <a:solidFill>
                  <a:srgbClr val="FF0000"/>
                </a:solidFill>
              </a:rPr>
              <a:t>一般公共预算财政拨款支出决算（单位：万元）</a:t>
            </a:r>
            <a:endParaRPr altLang="en-US">
              <a:solidFill>
                <a:srgbClr val="FF0000"/>
              </a:solidFill>
            </a:endParaRPr>
          </a:p>
        </c:rich>
      </c:tx>
      <c:layout>
        <c:manualLayout>
          <c:xMode val="edge"/>
          <c:yMode val="edge"/>
          <c:x val="0.155564472980203"/>
          <c:y val="0.0258064516129032"/>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一般公共预算财政拨款支出决算</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Sheet1!$A$2:$A$3</c:f>
              <c:strCache>
                <c:ptCount val="2"/>
                <c:pt idx="0">
                  <c:v>2023年度</c:v>
                </c:pt>
                <c:pt idx="1">
                  <c:v>2022年度</c:v>
                </c:pt>
              </c:strCache>
            </c:strRef>
          </c:cat>
          <c:val>
            <c:numRef>
              <c:f>Sheet1!$B$2:$B$3</c:f>
              <c:numCache>
                <c:formatCode>General</c:formatCode>
                <c:ptCount val="2"/>
                <c:pt idx="0">
                  <c:v>1095.85</c:v>
                </c:pt>
                <c:pt idx="1">
                  <c:v>1145.14</c:v>
                </c:pt>
              </c:numCache>
            </c:numRef>
          </c:val>
        </c:ser>
        <c:ser>
          <c:idx val="1"/>
          <c:order val="1"/>
          <c:tx>
            <c:strRef>
              <c:f>Sheet1!#REF!</c:f>
              <c:strCache>
                <c:ptCount val="1"/>
                <c:pt idx="0">
                  <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Sheet1!$A$2:$A$3</c:f>
              <c:strCache>
                <c:ptCount val="2"/>
                <c:pt idx="0">
                  <c:v>2023年度</c:v>
                </c:pt>
                <c:pt idx="1">
                  <c:v>2022年度</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Sheet1!$A$2:$A$3</c:f>
              <c:strCache>
                <c:ptCount val="2"/>
                <c:pt idx="0">
                  <c:v>2023年度</c:v>
                </c:pt>
                <c:pt idx="1">
                  <c:v>2022年度</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65"/>
        <c:overlap val="0"/>
        <c:axId val="908803974"/>
        <c:axId val="663804237"/>
      </c:barChart>
      <c:catAx>
        <c:axId val="908803974"/>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63804237"/>
        <c:crosses val="autoZero"/>
        <c:auto val="1"/>
        <c:lblAlgn val="ctr"/>
        <c:lblOffset val="100"/>
        <c:noMultiLvlLbl val="0"/>
      </c:catAx>
      <c:valAx>
        <c:axId val="66380423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908803974"/>
        <c:crosses val="autoZero"/>
        <c:crossBetween val="between"/>
      </c:valAx>
      <c:spPr>
        <a:noFill/>
        <a:ln>
          <a:noFill/>
        </a:ln>
        <a:effectLst/>
      </c:spPr>
    </c:plotArea>
    <c:legend>
      <c:legendPos val="b"/>
      <c:legendEntry>
        <c:idx val="1"/>
        <c:delete val="1"/>
      </c:legendEntry>
      <c:legendEntry>
        <c:idx val="2"/>
        <c:delete val="1"/>
      </c:legendEntry>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rPr>
                <a:solidFill>
                  <a:srgbClr val="FF0000"/>
                </a:solidFill>
              </a:rPr>
              <a:t>一般公共预算财政拨款支出决算</a:t>
            </a:r>
            <a:endParaRPr>
              <a:solidFill>
                <a:srgbClr val="FF0000"/>
              </a:solidFill>
            </a:endParaRPr>
          </a:p>
        </c:rich>
      </c:tx>
      <c:layout/>
      <c:overlay val="0"/>
      <c:spPr>
        <a:noFill/>
        <a:ln>
          <a:noFill/>
        </a:ln>
        <a:effectLst/>
      </c:spPr>
    </c:title>
    <c:autoTitleDeleted val="0"/>
    <c:plotArea>
      <c:layout/>
      <c:pieChart>
        <c:varyColors val="1"/>
        <c:ser>
          <c:idx val="0"/>
          <c:order val="0"/>
          <c:tx>
            <c:strRef>
              <c:f>Sheet1!$B$1</c:f>
              <c:strCache>
                <c:ptCount val="1"/>
                <c:pt idx="0">
                  <c:v>一般公共预算财政拨款支出决算</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Pt>
            <c:idx val="2"/>
            <c:bubble3D val="0"/>
            <c:spPr>
              <a:solidFill>
                <a:schemeClr val="accent3"/>
              </a:solidFill>
              <a:ln>
                <a:noFill/>
              </a:ln>
              <a:effectLst/>
            </c:spPr>
          </c:dPt>
          <c:dPt>
            <c:idx val="3"/>
            <c:bubble3D val="0"/>
            <c:spPr>
              <a:solidFill>
                <a:schemeClr val="accent4"/>
              </a:solidFill>
              <a:ln>
                <a:noFill/>
              </a:ln>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0.00%</c:formatCode>
                <c:ptCount val="4"/>
                <c:pt idx="0">
                  <c:v>0.9668</c:v>
                </c:pt>
                <c:pt idx="1">
                  <c:v>0.0156</c:v>
                </c:pt>
                <c:pt idx="2">
                  <c:v>0.0062</c:v>
                </c:pt>
                <c:pt idx="3">
                  <c:v>0.0114</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8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formatCode="0.00%">
                  <c:v>0.9997</c:v>
                </c:pt>
                <c:pt idx="2" c:formatCode="0.00%">
                  <c:v>0.0002</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40</Pages>
  <Words>14786</Words>
  <Characters>18452</Characters>
  <Lines>54</Lines>
  <Paragraphs>15</Paragraphs>
  <TotalTime>0</TotalTime>
  <ScaleCrop>false</ScaleCrop>
  <LinksUpToDate>false</LinksUpToDate>
  <CharactersWithSpaces>18666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Administrator</cp:lastModifiedBy>
  <cp:lastPrinted>2024-10-31T06:02:00Z</cp:lastPrinted>
  <dcterms:modified xsi:type="dcterms:W3CDTF">2024-11-05T08:35:00Z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2A9ADA36B1664860A8959EA2CF40F477</vt:lpwstr>
  </property>
</Properties>
</file>