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CC9B5">
      <w:pPr>
        <w:spacing w:line="600" w:lineRule="exact"/>
        <w:jc w:val="left"/>
        <w:outlineLvl w:val="0"/>
        <w:rPr>
          <w:rFonts w:hint="eastAsia" w:ascii="方正小标宋简体" w:hAnsi="宋体" w:eastAsia="方正小标宋简体"/>
          <w:szCs w:val="21"/>
          <w:lang w:val="en-US" w:eastAsia="zh-CN"/>
        </w:rPr>
      </w:pPr>
      <w:bookmarkStart w:id="0" w:name="_Toc15306267"/>
      <w:r>
        <w:rPr>
          <w:rFonts w:hint="eastAsia" w:ascii="方正小标宋简体" w:hAnsi="宋体" w:eastAsia="方正小标宋简体"/>
          <w:szCs w:val="21"/>
          <w:lang w:val="en-US" w:eastAsia="zh-CN"/>
        </w:rPr>
        <w:t xml:space="preserve"> </w:t>
      </w:r>
    </w:p>
    <w:p w14:paraId="10927FD2">
      <w:pPr>
        <w:pStyle w:val="5"/>
        <w:spacing w:before="93"/>
      </w:pPr>
    </w:p>
    <w:p w14:paraId="733BC823">
      <w:pPr>
        <w:spacing w:line="600" w:lineRule="exact"/>
        <w:jc w:val="center"/>
        <w:outlineLvl w:val="0"/>
        <w:rPr>
          <w:rFonts w:ascii="方正小标宋简体" w:hAnsi="宋体" w:eastAsia="方正小标宋简体"/>
          <w:sz w:val="72"/>
          <w:szCs w:val="72"/>
        </w:rPr>
      </w:pPr>
    </w:p>
    <w:p w14:paraId="6F0FCFDD">
      <w:pPr>
        <w:spacing w:line="600" w:lineRule="exact"/>
        <w:jc w:val="center"/>
        <w:outlineLvl w:val="0"/>
        <w:rPr>
          <w:rFonts w:ascii="方正小标宋简体" w:hAnsi="宋体" w:eastAsia="方正小标宋简体"/>
          <w:sz w:val="72"/>
          <w:szCs w:val="72"/>
        </w:rPr>
      </w:pPr>
    </w:p>
    <w:p w14:paraId="5645ABE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193"/>
      <w:bookmarkStart w:id="3" w:name="_Toc15396475"/>
      <w:bookmarkStart w:id="4" w:name="_Toc1537742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2D5579B9">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简体" w:hAnsi="方正小标宋简体" w:eastAsia="方正小标宋简体" w:cs="方正小标宋简体"/>
          <w:color w:val="auto"/>
          <w:sz w:val="72"/>
          <w:szCs w:val="72"/>
          <w:highlight w:val="none"/>
        </w:rPr>
        <w:t>四川省</w:t>
      </w:r>
      <w:r>
        <w:rPr>
          <w:rFonts w:hint="eastAsia" w:ascii="方正小标宋简体" w:hAnsi="方正小标宋简体" w:eastAsia="方正小标宋简体" w:cs="方正小标宋简体"/>
          <w:color w:val="auto"/>
          <w:sz w:val="72"/>
          <w:szCs w:val="72"/>
          <w:highlight w:val="none"/>
          <w:lang w:eastAsia="zh-CN"/>
        </w:rPr>
        <w:t>巴中市巴州区建设工程质量安全监督站</w:t>
      </w:r>
    </w:p>
    <w:p w14:paraId="1ACDC4E2">
      <w:pPr>
        <w:adjustRightInd w:val="0"/>
        <w:snapToGrid w:val="0"/>
        <w:spacing w:line="360" w:lineRule="auto"/>
        <w:jc w:val="center"/>
        <w:outlineLvl w:val="0"/>
        <w:rPr>
          <w:rFonts w:ascii="方正小标宋简体" w:hAnsi="方正小标宋简体" w:eastAsia="方正小标宋简体" w:cs="方正小标宋简体"/>
          <w:sz w:val="72"/>
          <w:szCs w:val="72"/>
        </w:rPr>
      </w:pPr>
    </w:p>
    <w:p w14:paraId="46553FA7">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简体" w:hAnsi="方正小标宋简体" w:eastAsia="方正小标宋简体" w:cs="方正小标宋简体"/>
          <w:color w:val="auto"/>
          <w:sz w:val="72"/>
          <w:szCs w:val="72"/>
          <w:highlight w:val="none"/>
          <w:lang w:eastAsia="zh-CN"/>
        </w:rPr>
        <w:t>单位决算</w:t>
      </w:r>
    </w:p>
    <w:p w14:paraId="22DF5540">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299F590">
      <w:pPr>
        <w:widowControl/>
        <w:jc w:val="center"/>
        <w:rPr>
          <w:rFonts w:ascii="黑体" w:hAnsi="黑体" w:eastAsia="黑体" w:cstheme="minorBidi"/>
          <w:sz w:val="28"/>
          <w:szCs w:val="28"/>
        </w:rPr>
      </w:pPr>
    </w:p>
    <w:p w14:paraId="3BA56E33">
      <w:pPr>
        <w:pStyle w:val="12"/>
      </w:pPr>
      <w:r>
        <w:rPr>
          <w:rFonts w:hint="eastAsia"/>
        </w:rPr>
        <w:t>公开时间：202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w:t>
      </w:r>
    </w:p>
    <w:p w14:paraId="3BF34EEF"/>
    <w:p w14:paraId="7CEF9E44">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46106A2A">
      <w:pPr>
        <w:pStyle w:val="13"/>
        <w:adjustRightInd w:val="0"/>
        <w:snapToGrid w:val="0"/>
        <w:spacing w:line="440" w:lineRule="exact"/>
        <w:jc w:val="left"/>
        <w:rPr>
          <w:sz w:val="24"/>
        </w:rPr>
      </w:pPr>
      <w:r>
        <w:rPr>
          <w:rFonts w:hint="eastAsia"/>
          <w:sz w:val="24"/>
        </w:rPr>
        <w:t>一、主要职责</w:t>
      </w:r>
    </w:p>
    <w:p w14:paraId="2730285D">
      <w:pPr>
        <w:pStyle w:val="13"/>
        <w:adjustRightInd w:val="0"/>
        <w:snapToGrid w:val="0"/>
        <w:spacing w:line="440" w:lineRule="exact"/>
        <w:jc w:val="left"/>
      </w:pPr>
      <w:r>
        <w:rPr>
          <w:rFonts w:hint="eastAsia"/>
          <w:sz w:val="24"/>
        </w:rPr>
        <w:t>二、机构设置</w:t>
      </w:r>
    </w:p>
    <w:p w14:paraId="71DE8AF7">
      <w:pPr>
        <w:pStyle w:val="12"/>
        <w:adjustRightInd w:val="0"/>
        <w:snapToGrid w:val="0"/>
        <w:spacing w:before="0" w:line="440" w:lineRule="exact"/>
        <w:jc w:val="left"/>
        <w:rPr>
          <w:sz w:val="24"/>
          <w:szCs w:val="24"/>
        </w:rPr>
      </w:pPr>
      <w:r>
        <w:rPr>
          <w:rFonts w:hint="eastAsia"/>
          <w:sz w:val="24"/>
        </w:rPr>
        <w:t>第二部分 2023年度单位决算情况说明</w:t>
      </w:r>
    </w:p>
    <w:p w14:paraId="49133082">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443272F8">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14:paraId="1CE9DE7D">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14:paraId="04209AA4">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75077A96">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72EF1642">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5E821BC7">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25C1B54A">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6E809607">
      <w:pPr>
        <w:pStyle w:val="13"/>
        <w:adjustRightInd w:val="0"/>
        <w:snapToGrid w:val="0"/>
        <w:spacing w:line="440" w:lineRule="exact"/>
        <w:jc w:val="left"/>
        <w:rPr>
          <w:sz w:val="24"/>
        </w:rPr>
      </w:pPr>
      <w:r>
        <w:rPr>
          <w:rFonts w:hint="eastAsia"/>
          <w:sz w:val="24"/>
        </w:rPr>
        <w:t>九、国有资本经营预算支出决算情况说明</w:t>
      </w:r>
    </w:p>
    <w:p w14:paraId="3181E81C">
      <w:pPr>
        <w:pStyle w:val="13"/>
        <w:adjustRightInd w:val="0"/>
        <w:snapToGrid w:val="0"/>
        <w:spacing w:line="440" w:lineRule="exact"/>
        <w:jc w:val="left"/>
        <w:rPr>
          <w:sz w:val="24"/>
        </w:rPr>
      </w:pPr>
      <w:r>
        <w:rPr>
          <w:rFonts w:hint="eastAsia"/>
          <w:sz w:val="24"/>
        </w:rPr>
        <w:t>十、其他重要事项的情况说明</w:t>
      </w:r>
    </w:p>
    <w:p w14:paraId="0DD443F5">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794F2AA8">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283320A6">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40C2D505">
      <w:pPr>
        <w:pStyle w:val="13"/>
        <w:adjustRightInd w:val="0"/>
        <w:snapToGrid w:val="0"/>
        <w:spacing w:line="440" w:lineRule="exact"/>
        <w:jc w:val="left"/>
        <w:rPr>
          <w:sz w:val="24"/>
        </w:rPr>
      </w:pPr>
      <w:r>
        <w:rPr>
          <w:rFonts w:hint="eastAsia"/>
          <w:sz w:val="24"/>
        </w:rPr>
        <w:t>一、收入支出决算总表</w:t>
      </w:r>
    </w:p>
    <w:p w14:paraId="4676A3BA">
      <w:pPr>
        <w:pStyle w:val="13"/>
        <w:adjustRightInd w:val="0"/>
        <w:snapToGrid w:val="0"/>
        <w:spacing w:line="440" w:lineRule="exact"/>
        <w:jc w:val="left"/>
        <w:rPr>
          <w:sz w:val="24"/>
        </w:rPr>
      </w:pPr>
      <w:r>
        <w:rPr>
          <w:rFonts w:hint="eastAsia"/>
          <w:sz w:val="24"/>
        </w:rPr>
        <w:t>二、收入决算表</w:t>
      </w:r>
    </w:p>
    <w:p w14:paraId="3E77EAC8">
      <w:pPr>
        <w:pStyle w:val="13"/>
        <w:adjustRightInd w:val="0"/>
        <w:snapToGrid w:val="0"/>
        <w:spacing w:line="440" w:lineRule="exact"/>
        <w:jc w:val="left"/>
        <w:rPr>
          <w:sz w:val="24"/>
        </w:rPr>
      </w:pPr>
      <w:r>
        <w:rPr>
          <w:rFonts w:hint="eastAsia"/>
          <w:sz w:val="24"/>
        </w:rPr>
        <w:t>三、支出决算表</w:t>
      </w:r>
    </w:p>
    <w:p w14:paraId="2C35EBFF">
      <w:pPr>
        <w:pStyle w:val="13"/>
        <w:adjustRightInd w:val="0"/>
        <w:snapToGrid w:val="0"/>
        <w:spacing w:line="440" w:lineRule="exact"/>
        <w:jc w:val="left"/>
        <w:rPr>
          <w:sz w:val="24"/>
        </w:rPr>
      </w:pPr>
      <w:r>
        <w:rPr>
          <w:rFonts w:hint="eastAsia"/>
          <w:sz w:val="24"/>
        </w:rPr>
        <w:t>四、财政拨款收入支出决算总表</w:t>
      </w:r>
    </w:p>
    <w:p w14:paraId="37616675">
      <w:pPr>
        <w:pStyle w:val="13"/>
        <w:adjustRightInd w:val="0"/>
        <w:snapToGrid w:val="0"/>
        <w:spacing w:line="440" w:lineRule="exact"/>
        <w:jc w:val="left"/>
        <w:rPr>
          <w:sz w:val="24"/>
        </w:rPr>
      </w:pPr>
      <w:r>
        <w:rPr>
          <w:rFonts w:hint="eastAsia"/>
          <w:sz w:val="24"/>
        </w:rPr>
        <w:t>五、财政拨款支出决算明细表</w:t>
      </w:r>
    </w:p>
    <w:p w14:paraId="40CEB767">
      <w:pPr>
        <w:pStyle w:val="13"/>
        <w:adjustRightInd w:val="0"/>
        <w:snapToGrid w:val="0"/>
        <w:spacing w:line="440" w:lineRule="exact"/>
        <w:jc w:val="left"/>
        <w:rPr>
          <w:sz w:val="24"/>
        </w:rPr>
      </w:pPr>
      <w:r>
        <w:rPr>
          <w:rFonts w:hint="eastAsia"/>
          <w:sz w:val="24"/>
        </w:rPr>
        <w:t>六、一般公共预算财政拨款支出决算表</w:t>
      </w:r>
    </w:p>
    <w:p w14:paraId="7E3951CD">
      <w:pPr>
        <w:pStyle w:val="13"/>
        <w:adjustRightInd w:val="0"/>
        <w:snapToGrid w:val="0"/>
        <w:spacing w:line="440" w:lineRule="exact"/>
        <w:jc w:val="left"/>
        <w:rPr>
          <w:sz w:val="24"/>
        </w:rPr>
      </w:pPr>
      <w:r>
        <w:rPr>
          <w:rFonts w:hint="eastAsia"/>
          <w:sz w:val="24"/>
        </w:rPr>
        <w:t>七、一般公共预算财政拨款支出决算明细表</w:t>
      </w:r>
    </w:p>
    <w:p w14:paraId="02D07A29">
      <w:pPr>
        <w:pStyle w:val="13"/>
        <w:adjustRightInd w:val="0"/>
        <w:snapToGrid w:val="0"/>
        <w:spacing w:line="440" w:lineRule="exact"/>
        <w:jc w:val="left"/>
        <w:rPr>
          <w:sz w:val="24"/>
        </w:rPr>
      </w:pPr>
      <w:r>
        <w:rPr>
          <w:rFonts w:hint="eastAsia"/>
          <w:sz w:val="24"/>
        </w:rPr>
        <w:t>八、一般公共预算财政拨款基本支出决算明细表</w:t>
      </w:r>
    </w:p>
    <w:p w14:paraId="53D5A037">
      <w:pPr>
        <w:pStyle w:val="13"/>
        <w:adjustRightInd w:val="0"/>
        <w:snapToGrid w:val="0"/>
        <w:spacing w:line="440" w:lineRule="exact"/>
        <w:jc w:val="left"/>
        <w:rPr>
          <w:sz w:val="24"/>
        </w:rPr>
      </w:pPr>
      <w:r>
        <w:rPr>
          <w:rFonts w:hint="eastAsia"/>
          <w:sz w:val="24"/>
        </w:rPr>
        <w:t>九、一般公共预算财政拨款项目支出决算表</w:t>
      </w:r>
    </w:p>
    <w:p w14:paraId="123242D1">
      <w:pPr>
        <w:pStyle w:val="13"/>
        <w:adjustRightInd w:val="0"/>
        <w:snapToGrid w:val="0"/>
        <w:spacing w:line="440" w:lineRule="exact"/>
        <w:jc w:val="left"/>
        <w:rPr>
          <w:sz w:val="24"/>
        </w:rPr>
      </w:pPr>
      <w:r>
        <w:rPr>
          <w:rFonts w:hint="eastAsia"/>
          <w:sz w:val="24"/>
        </w:rPr>
        <w:t>十、政府性基金预算财政拨款收入支出决算表</w:t>
      </w:r>
    </w:p>
    <w:p w14:paraId="04A95370">
      <w:pPr>
        <w:pStyle w:val="13"/>
        <w:adjustRightInd w:val="0"/>
        <w:snapToGrid w:val="0"/>
        <w:spacing w:line="440" w:lineRule="exact"/>
        <w:jc w:val="left"/>
        <w:rPr>
          <w:sz w:val="24"/>
        </w:rPr>
      </w:pPr>
      <w:r>
        <w:rPr>
          <w:rFonts w:hint="eastAsia"/>
          <w:sz w:val="24"/>
        </w:rPr>
        <w:t>十一、国有资本经营预算财政拨款收入支出决算表</w:t>
      </w:r>
    </w:p>
    <w:p w14:paraId="76F94F25">
      <w:pPr>
        <w:pStyle w:val="13"/>
        <w:adjustRightInd w:val="0"/>
        <w:snapToGrid w:val="0"/>
        <w:spacing w:line="440" w:lineRule="exact"/>
        <w:jc w:val="left"/>
        <w:rPr>
          <w:sz w:val="24"/>
        </w:rPr>
      </w:pPr>
      <w:r>
        <w:rPr>
          <w:rFonts w:hint="eastAsia"/>
          <w:sz w:val="24"/>
        </w:rPr>
        <w:t>十二、国有资本经营预算财政拨款支出决算表</w:t>
      </w:r>
    </w:p>
    <w:p w14:paraId="1F999C5F">
      <w:pPr>
        <w:pStyle w:val="13"/>
        <w:adjustRightInd w:val="0"/>
        <w:snapToGrid w:val="0"/>
        <w:spacing w:line="440" w:lineRule="exact"/>
        <w:jc w:val="left"/>
        <w:rPr>
          <w:sz w:val="24"/>
        </w:rPr>
      </w:pPr>
      <w:r>
        <w:rPr>
          <w:rFonts w:hint="eastAsia"/>
          <w:sz w:val="24"/>
        </w:rPr>
        <w:t>十三、财政拨款“三公”经费支出决算表</w:t>
      </w:r>
    </w:p>
    <w:p w14:paraId="053C3895">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2755C71E">
      <w:pPr>
        <w:widowControl/>
        <w:spacing w:line="440" w:lineRule="exact"/>
        <w:jc w:val="left"/>
        <w:rPr>
          <w:rFonts w:ascii="仿宋" w:hAnsi="仿宋" w:eastAsia="仿宋"/>
          <w:bCs/>
          <w:kern w:val="44"/>
          <w:sz w:val="24"/>
        </w:rPr>
      </w:pPr>
      <w:bookmarkStart w:id="6" w:name="_Toc15396599"/>
      <w:bookmarkStart w:id="7" w:name="_Toc15377196"/>
      <w:r>
        <w:rPr>
          <w:rFonts w:ascii="仿宋" w:hAnsi="仿宋" w:eastAsia="仿宋"/>
          <w:b/>
          <w:sz w:val="24"/>
        </w:rPr>
        <w:br w:type="page"/>
      </w:r>
    </w:p>
    <w:p w14:paraId="39493535">
      <w:pPr>
        <w:pStyle w:val="2"/>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6"/>
      <w:bookmarkEnd w:id="7"/>
    </w:p>
    <w:p w14:paraId="6052B469">
      <w:pPr>
        <w:widowControl/>
        <w:jc w:val="left"/>
        <w:rPr>
          <w:rFonts w:ascii="黑体" w:eastAsia="黑体"/>
          <w:sz w:val="32"/>
          <w:szCs w:val="32"/>
        </w:rPr>
      </w:pPr>
    </w:p>
    <w:p w14:paraId="6C9273D4">
      <w:pPr>
        <w:pStyle w:val="3"/>
        <w:numPr>
          <w:ilvl w:val="0"/>
          <w:numId w:val="1"/>
        </w:numPr>
        <w:rPr>
          <w:rStyle w:val="29"/>
          <w:rFonts w:ascii="黑体" w:hAnsi="黑体" w:eastAsia="黑体"/>
          <w:b w:val="0"/>
          <w:bCs w:val="0"/>
        </w:rPr>
      </w:pPr>
      <w:bookmarkStart w:id="8" w:name="_Toc15396600"/>
      <w:bookmarkStart w:id="9" w:name="_Toc15377197"/>
      <w:r>
        <w:rPr>
          <w:rStyle w:val="29"/>
          <w:rFonts w:hint="eastAsia" w:ascii="黑体" w:hAnsi="黑体" w:eastAsia="黑体"/>
          <w:b w:val="0"/>
          <w:bCs w:val="0"/>
        </w:rPr>
        <w:t>主要职责</w:t>
      </w:r>
    </w:p>
    <w:p w14:paraId="14225F74">
      <w:pPr>
        <w:pageBreakBefore w:val="0"/>
        <w:kinsoku/>
        <w:wordWrap/>
        <w:overflowPunct/>
        <w:topLinePunct w:val="0"/>
        <w:bidi w:val="0"/>
        <w:snapToGrid w:val="0"/>
        <w:spacing w:line="52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主要职能</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8"/>
          <w:szCs w:val="28"/>
          <w:highlight w:val="none"/>
          <w:lang w:eastAsia="zh-CN"/>
        </w:rPr>
        <w:t>依据有关法律法规和工程建设强制性标准，对在建工程实体质量和工程建设、勘察、设计、施工监理单位行为实施监督；负责在建工程安全生产的监督管理</w:t>
      </w:r>
      <w:r>
        <w:rPr>
          <w:rFonts w:hint="eastAsia" w:ascii="仿宋_GB2312" w:hAnsi="仿宋" w:eastAsia="仿宋_GB2312"/>
          <w:color w:val="auto"/>
          <w:sz w:val="32"/>
          <w:szCs w:val="32"/>
          <w:highlight w:val="none"/>
        </w:rPr>
        <w:t>。</w:t>
      </w:r>
    </w:p>
    <w:p w14:paraId="1B53E865"/>
    <w:p w14:paraId="49991C31">
      <w:pPr>
        <w:pStyle w:val="3"/>
        <w:rPr>
          <w:rFonts w:ascii="黑体" w:hAnsi="黑体" w:eastAsia="黑体"/>
          <w:b w:val="0"/>
        </w:rPr>
      </w:pPr>
      <w:r>
        <w:rPr>
          <w:rFonts w:hint="eastAsia" w:ascii="黑体" w:hAnsi="黑体" w:eastAsia="黑体"/>
          <w:b w:val="0"/>
        </w:rPr>
        <w:t>二、机构设置</w:t>
      </w:r>
    </w:p>
    <w:bookmarkEnd w:id="8"/>
    <w:bookmarkEnd w:id="9"/>
    <w:p w14:paraId="058CCB49">
      <w:pPr>
        <w:spacing w:before="294" w:line="345" w:lineRule="auto"/>
        <w:ind w:left="40" w:right="137" w:firstLine="670"/>
        <w:rPr>
          <w:rFonts w:hint="eastAsia" w:ascii="仿宋" w:hAnsi="仿宋" w:eastAsia="仿宋" w:cs="仿宋"/>
          <w:color w:val="auto"/>
          <w:spacing w:val="4"/>
          <w:sz w:val="31"/>
          <w:szCs w:val="31"/>
          <w:lang w:val="en-US" w:eastAsia="zh-CN"/>
        </w:rPr>
      </w:pP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机构情况</w:t>
      </w:r>
      <w:r>
        <w:rPr>
          <w:rFonts w:hint="eastAsia" w:ascii="仿宋_GB2312" w:hAnsi="仿宋" w:eastAsia="仿宋_GB2312"/>
          <w:color w:val="auto"/>
          <w:sz w:val="32"/>
          <w:szCs w:val="32"/>
          <w:highlight w:val="none"/>
          <w:lang w:eastAsia="zh-CN"/>
        </w:rPr>
        <w:t>：</w:t>
      </w:r>
      <w:r>
        <w:rPr>
          <w:rFonts w:hint="eastAsia" w:ascii="仿宋" w:hAnsi="仿宋" w:eastAsia="仿宋" w:cs="仿宋"/>
          <w:color w:val="auto"/>
          <w:spacing w:val="4"/>
          <w:sz w:val="31"/>
          <w:szCs w:val="31"/>
          <w:lang w:val="en-US" w:eastAsia="zh-CN"/>
        </w:rPr>
        <w:t>巴中市巴州区建设工程质量安全监督站隶属于巴中市巴州区住房和城乡建设局，属于区住建局直属公益一类事业单位。</w:t>
      </w:r>
    </w:p>
    <w:p w14:paraId="5D13CF40">
      <w:pPr>
        <w:bidi w:val="0"/>
        <w:rPr>
          <w:rFonts w:hint="default" w:ascii="Times New Roman" w:hAnsi="Times New Roman" w:eastAsia="宋体" w:cs="Times New Roman"/>
          <w:kern w:val="2"/>
          <w:sz w:val="21"/>
          <w:szCs w:val="24"/>
          <w:lang w:val="en-US" w:eastAsia="zh-CN" w:bidi="ar-SA"/>
        </w:rPr>
      </w:pPr>
    </w:p>
    <w:p w14:paraId="0CBA0C04">
      <w:pPr>
        <w:ind w:firstLine="640" w:firstLineChars="200"/>
        <w:rPr>
          <w:rFonts w:hint="default"/>
          <w:lang w:val="en-US" w:eastAsia="zh-CN"/>
        </w:rPr>
        <w:sectPr>
          <w:headerReference r:id="rId4" w:type="first"/>
          <w:footerReference r:id="rId6" w:type="first"/>
          <w:headerReference r:id="rId3" w:type="default"/>
          <w:footerReference r:id="rId5" w:type="default"/>
          <w:pgSz w:w="11906" w:h="16839"/>
          <w:pgMar w:top="1431" w:right="1711" w:bottom="856" w:left="1785" w:header="0" w:footer="575" w:gutter="0"/>
          <w:pgNumType w:fmt="decimal"/>
          <w:cols w:space="720" w:num="1"/>
        </w:sectPr>
      </w:pP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人员情况</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8"/>
          <w:szCs w:val="28"/>
          <w:highlight w:val="none"/>
          <w:lang w:val="en-US" w:eastAsia="zh-CN"/>
        </w:rPr>
        <w:t>2023年末，在职职工9人</w:t>
      </w:r>
      <w:r>
        <w:rPr>
          <w:rFonts w:hint="eastAsia" w:ascii="仿宋" w:hAnsi="仿宋" w:eastAsia="仿宋" w:cs="仿宋"/>
          <w:color w:val="auto"/>
          <w:spacing w:val="4"/>
          <w:sz w:val="31"/>
          <w:szCs w:val="31"/>
          <w:lang w:val="en-US" w:eastAsia="zh-CN"/>
        </w:rPr>
        <w:t>。</w:t>
      </w:r>
    </w:p>
    <w:p w14:paraId="117AB61B">
      <w:pPr>
        <w:pStyle w:val="2"/>
        <w:ind w:right="440"/>
        <w:jc w:val="center"/>
      </w:pPr>
      <w:bookmarkStart w:id="10" w:name="_Toc15396602"/>
      <w:bookmarkStart w:id="11"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0"/>
      <w:bookmarkEnd w:id="11"/>
    </w:p>
    <w:p w14:paraId="7A42338E">
      <w:pPr>
        <w:pStyle w:val="27"/>
        <w:numPr>
          <w:ilvl w:val="0"/>
          <w:numId w:val="2"/>
        </w:numPr>
        <w:spacing w:line="600" w:lineRule="exact"/>
        <w:ind w:firstLineChars="0"/>
        <w:outlineLvl w:val="1"/>
        <w:rPr>
          <w:rStyle w:val="29"/>
          <w:rFonts w:ascii="黑体" w:hAnsi="黑体" w:eastAsia="黑体"/>
          <w:b w:val="0"/>
        </w:rPr>
      </w:pPr>
      <w:bookmarkStart w:id="12" w:name="_Toc15396603"/>
      <w:bookmarkStart w:id="13"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12"/>
      <w:bookmarkEnd w:id="13"/>
    </w:p>
    <w:p w14:paraId="1249359E">
      <w:pPr>
        <w:spacing w:line="600" w:lineRule="exact"/>
        <w:ind w:firstLine="960" w:firstLineChars="3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153.29</w:t>
      </w:r>
      <w:r>
        <w:rPr>
          <w:rFonts w:hint="eastAsia" w:ascii="仿宋" w:hAnsi="仿宋" w:eastAsia="仿宋"/>
          <w:sz w:val="32"/>
          <w:szCs w:val="32"/>
        </w:rPr>
        <w:t>万元。与2022年度相比，收、支总计各增加</w:t>
      </w:r>
      <w:r>
        <w:rPr>
          <w:rFonts w:hint="eastAsia" w:ascii="仿宋_GB2312" w:hAnsi="仿宋" w:eastAsia="仿宋_GB2312"/>
          <w:b/>
          <w:bCs/>
          <w:color w:val="auto"/>
          <w:sz w:val="32"/>
          <w:szCs w:val="32"/>
          <w:highlight w:val="none"/>
          <w:lang w:val="en-US" w:eastAsia="zh-CN"/>
        </w:rPr>
        <w:t>5.99</w:t>
      </w:r>
      <w:r>
        <w:rPr>
          <w:rFonts w:hint="eastAsia" w:ascii="仿宋" w:hAnsi="仿宋" w:eastAsia="仿宋"/>
          <w:sz w:val="32"/>
          <w:szCs w:val="32"/>
        </w:rPr>
        <w:t>万元，增长</w:t>
      </w:r>
      <w:r>
        <w:rPr>
          <w:rFonts w:hint="eastAsia" w:ascii="仿宋" w:hAnsi="仿宋" w:eastAsia="仿宋"/>
          <w:b/>
          <w:bCs/>
          <w:sz w:val="32"/>
          <w:szCs w:val="32"/>
        </w:rPr>
        <w:t>4.</w:t>
      </w:r>
      <w:r>
        <w:rPr>
          <w:rFonts w:hint="eastAsia" w:ascii="仿宋" w:hAnsi="仿宋" w:eastAsia="仿宋"/>
          <w:b/>
          <w:bCs/>
          <w:sz w:val="32"/>
          <w:szCs w:val="32"/>
          <w:lang w:val="en-US" w:eastAsia="zh-CN"/>
        </w:rPr>
        <w:t>1</w:t>
      </w:r>
      <w:r>
        <w:rPr>
          <w:rFonts w:ascii="仿宋" w:hAnsi="仿宋" w:eastAsia="仿宋"/>
          <w:b/>
          <w:bCs/>
          <w:sz w:val="32"/>
          <w:szCs w:val="32"/>
        </w:rPr>
        <w:t>%</w:t>
      </w:r>
      <w:r>
        <w:rPr>
          <w:rFonts w:hint="eastAsia" w:ascii="仿宋" w:hAnsi="仿宋" w:eastAsia="仿宋"/>
          <w:sz w:val="32"/>
          <w:szCs w:val="32"/>
        </w:rPr>
        <w:t>。主要变动原因是主要变动原因是较去年人员增加，单位经费开支增加。</w:t>
      </w:r>
    </w:p>
    <w:p w14:paraId="13779FCD">
      <w:pPr>
        <w:spacing w:line="600" w:lineRule="exact"/>
        <w:ind w:firstLine="1600" w:firstLineChars="5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585591E4">
      <w:pPr>
        <w:pStyle w:val="6"/>
      </w:pPr>
      <w:r>
        <w:drawing>
          <wp:inline distT="0" distB="0" distL="114300" distR="114300">
            <wp:extent cx="4994275" cy="2854325"/>
            <wp:effectExtent l="4445" t="4445" r="15240" b="52070"/>
            <wp:docPr id="4" name="图表 3"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C40829">
      <w:pPr>
        <w:pStyle w:val="27"/>
        <w:numPr>
          <w:ilvl w:val="0"/>
          <w:numId w:val="2"/>
        </w:numPr>
        <w:spacing w:line="600" w:lineRule="exact"/>
        <w:ind w:firstLineChars="0"/>
        <w:outlineLvl w:val="1"/>
        <w:rPr>
          <w:rStyle w:val="29"/>
          <w:rFonts w:ascii="黑体" w:hAnsi="黑体" w:eastAsia="黑体"/>
          <w:b w:val="0"/>
        </w:rPr>
      </w:pPr>
      <w:bookmarkStart w:id="14" w:name="_Toc15377206"/>
      <w:bookmarkStart w:id="15" w:name="_Toc15396604"/>
      <w:r>
        <w:rPr>
          <w:rFonts w:hint="eastAsia" w:ascii="黑体" w:hAnsi="黑体" w:eastAsia="黑体"/>
          <w:sz w:val="32"/>
          <w:szCs w:val="32"/>
        </w:rPr>
        <w:t>收</w:t>
      </w:r>
      <w:r>
        <w:rPr>
          <w:rStyle w:val="29"/>
          <w:rFonts w:hint="eastAsia" w:ascii="黑体" w:hAnsi="黑体" w:eastAsia="黑体"/>
          <w:b w:val="0"/>
        </w:rPr>
        <w:t>入决算情况说明</w:t>
      </w:r>
      <w:bookmarkEnd w:id="14"/>
      <w:bookmarkEnd w:id="15"/>
    </w:p>
    <w:p w14:paraId="3584BCA0">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153.29</w:t>
      </w:r>
      <w:r>
        <w:rPr>
          <w:rFonts w:hint="eastAsia" w:ascii="仿宋" w:hAnsi="仿宋" w:eastAsia="仿宋"/>
          <w:sz w:val="32"/>
          <w:szCs w:val="32"/>
        </w:rPr>
        <w:t>万元，其中：一般公共预算财政拨款收入</w:t>
      </w:r>
      <w:r>
        <w:rPr>
          <w:rFonts w:ascii="仿宋" w:hAnsi="仿宋" w:eastAsia="仿宋"/>
          <w:b/>
          <w:sz w:val="32"/>
          <w:szCs w:val="32"/>
        </w:rPr>
        <w:t>153.29</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570A3AFD">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w:t>
      </w:r>
    </w:p>
    <w:p w14:paraId="318985B6">
      <w:pPr>
        <w:pStyle w:val="5"/>
      </w:pPr>
      <w:r>
        <w:drawing>
          <wp:inline distT="0" distB="0" distL="114300" distR="114300">
            <wp:extent cx="4925695" cy="2861945"/>
            <wp:effectExtent l="4445" t="4445" r="7620" b="13970"/>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E01C4A">
      <w:pPr>
        <w:pStyle w:val="27"/>
        <w:numPr>
          <w:ilvl w:val="0"/>
          <w:numId w:val="2"/>
        </w:numPr>
        <w:spacing w:line="600" w:lineRule="exact"/>
        <w:ind w:firstLineChars="0"/>
        <w:outlineLvl w:val="1"/>
        <w:rPr>
          <w:rStyle w:val="29"/>
          <w:rFonts w:ascii="黑体" w:hAnsi="黑体" w:eastAsia="黑体"/>
          <w:b w:val="0"/>
        </w:rPr>
      </w:pPr>
      <w:bookmarkStart w:id="16" w:name="_Toc15377207"/>
      <w:bookmarkStart w:id="17" w:name="_Toc15396605"/>
      <w:r>
        <w:rPr>
          <w:rFonts w:hint="eastAsia" w:ascii="黑体" w:hAnsi="黑体" w:eastAsia="黑体"/>
          <w:sz w:val="32"/>
          <w:szCs w:val="32"/>
        </w:rPr>
        <w:t>支</w:t>
      </w:r>
      <w:r>
        <w:rPr>
          <w:rStyle w:val="29"/>
          <w:rFonts w:hint="eastAsia" w:ascii="黑体" w:hAnsi="黑体" w:eastAsia="黑体"/>
          <w:b w:val="0"/>
        </w:rPr>
        <w:t>出决算情况说明</w:t>
      </w:r>
      <w:bookmarkEnd w:id="16"/>
      <w:bookmarkEnd w:id="17"/>
    </w:p>
    <w:p w14:paraId="1E341464">
      <w:pPr>
        <w:spacing w:line="600" w:lineRule="exact"/>
        <w:ind w:firstLine="640" w:firstLineChars="200"/>
        <w:outlineLvl w:val="1"/>
        <w:rPr>
          <w:rFonts w:ascii="仿宋" w:hAnsi="仿宋" w:eastAsia="仿宋"/>
          <w:sz w:val="32"/>
          <w:szCs w:val="32"/>
          <w:shd w:val="pct10" w:color="auto" w:fill="FFFFFF"/>
        </w:rPr>
      </w:pPr>
      <w:r>
        <w:rPr>
          <w:rFonts w:hint="eastAsia" w:ascii="仿宋" w:hAnsi="仿宋" w:eastAsia="仿宋"/>
          <w:sz w:val="32"/>
          <w:szCs w:val="32"/>
        </w:rPr>
        <w:t>2023年度本年支出合计</w:t>
      </w:r>
      <w:r>
        <w:rPr>
          <w:rFonts w:ascii="仿宋" w:hAnsi="仿宋" w:eastAsia="仿宋"/>
          <w:b/>
          <w:sz w:val="32"/>
          <w:szCs w:val="32"/>
        </w:rPr>
        <w:t>153.29</w:t>
      </w:r>
      <w:r>
        <w:rPr>
          <w:rFonts w:hint="eastAsia" w:ascii="仿宋" w:hAnsi="仿宋" w:eastAsia="仿宋"/>
          <w:sz w:val="32"/>
          <w:szCs w:val="32"/>
        </w:rPr>
        <w:t>万元，其中：基本支出</w:t>
      </w:r>
      <w:r>
        <w:rPr>
          <w:rFonts w:ascii="仿宋" w:hAnsi="仿宋" w:eastAsia="仿宋"/>
          <w:b/>
          <w:sz w:val="32"/>
          <w:szCs w:val="32"/>
        </w:rPr>
        <w:t>148.29</w:t>
      </w:r>
      <w:r>
        <w:rPr>
          <w:rFonts w:hint="eastAsia" w:ascii="仿宋" w:hAnsi="仿宋" w:eastAsia="仿宋"/>
          <w:sz w:val="32"/>
          <w:szCs w:val="32"/>
        </w:rPr>
        <w:t>万元，占</w:t>
      </w:r>
      <w:r>
        <w:rPr>
          <w:rFonts w:ascii="仿宋" w:hAnsi="仿宋" w:eastAsia="仿宋"/>
          <w:b/>
          <w:sz w:val="32"/>
          <w:szCs w:val="32"/>
        </w:rPr>
        <w:t>96.7</w:t>
      </w:r>
      <w:r>
        <w:rPr>
          <w:rFonts w:hint="eastAsia" w:ascii="仿宋" w:hAnsi="仿宋" w:eastAsia="仿宋"/>
          <w:b/>
          <w:sz w:val="32"/>
          <w:szCs w:val="32"/>
          <w:lang w:val="en-US" w:eastAsia="zh-CN"/>
        </w:rPr>
        <w:t>4</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5</w:t>
      </w:r>
      <w:r>
        <w:rPr>
          <w:rFonts w:hint="eastAsia" w:ascii="仿宋" w:hAnsi="仿宋" w:eastAsia="仿宋"/>
          <w:sz w:val="32"/>
          <w:szCs w:val="32"/>
        </w:rPr>
        <w:t>万元，占</w:t>
      </w:r>
      <w:r>
        <w:rPr>
          <w:rFonts w:ascii="仿宋" w:hAnsi="仿宋" w:eastAsia="仿宋"/>
          <w:b/>
          <w:sz w:val="32"/>
          <w:szCs w:val="32"/>
        </w:rPr>
        <w:t>3.26</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1DA1F9FE">
      <w:pPr>
        <w:spacing w:line="600" w:lineRule="exact"/>
        <w:ind w:firstLine="640" w:firstLineChars="200"/>
        <w:rPr>
          <w:rFonts w:hint="eastAsia"/>
          <w:lang w:val="en-US" w:eastAsia="zh-CN"/>
        </w:rPr>
      </w:pPr>
      <w:r>
        <w:rPr>
          <w:rFonts w:hint="eastAsia" w:ascii="仿宋" w:hAnsi="仿宋" w:eastAsia="仿宋"/>
          <w:sz w:val="32"/>
          <w:szCs w:val="32"/>
        </w:rPr>
        <w:t>（图3：支出决算结构图）</w:t>
      </w:r>
    </w:p>
    <w:p w14:paraId="12DB7B7B">
      <w:pPr>
        <w:pStyle w:val="5"/>
        <w:rPr>
          <w:rFonts w:hint="eastAsia" w:ascii="仿宋" w:hAnsi="仿宋" w:eastAsia="仿宋"/>
          <w:sz w:val="32"/>
          <w:szCs w:val="32"/>
        </w:rPr>
      </w:pPr>
      <w:r>
        <w:rPr>
          <w:rFonts w:hint="eastAsia"/>
          <w:lang w:val="en-US" w:eastAsia="zh-CN"/>
        </w:rPr>
        <w:t xml:space="preserve">  </w:t>
      </w:r>
      <w:r>
        <w:drawing>
          <wp:inline distT="0" distB="0" distL="114300" distR="114300">
            <wp:extent cx="4829810" cy="2660015"/>
            <wp:effectExtent l="4445" t="4445" r="12065" b="1778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2A22AA">
      <w:pPr>
        <w:pStyle w:val="6"/>
        <w:ind w:left="0" w:leftChars="0" w:firstLine="0" w:firstLineChars="0"/>
        <w:jc w:val="both"/>
        <w:rPr>
          <w:rFonts w:hint="eastAsia"/>
        </w:rPr>
      </w:pPr>
    </w:p>
    <w:p w14:paraId="03F4BC67">
      <w:pPr>
        <w:spacing w:line="600" w:lineRule="exact"/>
        <w:ind w:firstLine="640" w:firstLineChars="200"/>
        <w:rPr>
          <w:rStyle w:val="29"/>
          <w:rFonts w:ascii="黑体" w:hAnsi="黑体" w:eastAsia="黑体"/>
          <w:b w:val="0"/>
        </w:rPr>
      </w:pPr>
      <w:bookmarkStart w:id="18" w:name="_Toc15396606"/>
      <w:bookmarkStart w:id="19"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18"/>
      <w:bookmarkEnd w:id="19"/>
    </w:p>
    <w:p w14:paraId="768BD1B7">
      <w:pPr>
        <w:pStyle w:val="5"/>
        <w:numPr>
          <w:ilvl w:val="0"/>
          <w:numId w:val="0"/>
        </w:numPr>
        <w:ind w:left="640" w:leftChars="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153.29</w:t>
      </w:r>
      <w:r>
        <w:rPr>
          <w:rFonts w:hint="eastAsia" w:ascii="仿宋" w:hAnsi="仿宋" w:eastAsia="仿宋"/>
          <w:sz w:val="32"/>
          <w:szCs w:val="32"/>
        </w:rPr>
        <w:t>万元。与2022年度相比，财政拨款收、支总计各增加</w:t>
      </w:r>
      <w:r>
        <w:rPr>
          <w:rFonts w:hint="eastAsia" w:ascii="仿宋" w:hAnsi="仿宋" w:eastAsia="仿宋"/>
          <w:b/>
          <w:bCs/>
          <w:sz w:val="32"/>
          <w:szCs w:val="32"/>
          <w:lang w:val="en-US" w:eastAsia="zh-CN"/>
        </w:rPr>
        <w:t>5.99</w:t>
      </w:r>
      <w:r>
        <w:rPr>
          <w:rFonts w:hint="eastAsia" w:ascii="仿宋" w:hAnsi="仿宋" w:eastAsia="仿宋"/>
          <w:sz w:val="32"/>
          <w:szCs w:val="32"/>
        </w:rPr>
        <w:t>万元，增长</w:t>
      </w:r>
      <w:r>
        <w:rPr>
          <w:rFonts w:hint="eastAsia" w:ascii="仿宋" w:hAnsi="仿宋" w:eastAsia="仿宋"/>
          <w:b/>
          <w:bCs/>
          <w:sz w:val="32"/>
          <w:szCs w:val="32"/>
          <w:lang w:val="en-US" w:eastAsia="zh-CN"/>
        </w:rPr>
        <w:t>4.01</w:t>
      </w:r>
      <w:r>
        <w:rPr>
          <w:rFonts w:ascii="仿宋" w:hAnsi="仿宋" w:eastAsia="仿宋"/>
          <w:b/>
          <w:bCs/>
          <w:sz w:val="32"/>
          <w:szCs w:val="32"/>
        </w:rPr>
        <w:t>%</w:t>
      </w:r>
      <w:r>
        <w:rPr>
          <w:rFonts w:hint="eastAsia" w:ascii="仿宋" w:hAnsi="仿宋" w:eastAsia="仿宋"/>
          <w:sz w:val="32"/>
          <w:szCs w:val="32"/>
        </w:rPr>
        <w:t>。主要变动原因</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2023年</w:t>
      </w:r>
      <w:r>
        <w:rPr>
          <w:rFonts w:hint="eastAsia" w:ascii="仿宋" w:hAnsi="仿宋" w:eastAsia="仿宋"/>
          <w:color w:val="auto"/>
          <w:sz w:val="32"/>
          <w:szCs w:val="32"/>
          <w:highlight w:val="none"/>
          <w:lang w:eastAsia="zh-CN"/>
        </w:rPr>
        <w:t>人员增加，单位开支增加。</w:t>
      </w:r>
    </w:p>
    <w:p w14:paraId="19EEEF67">
      <w:pPr>
        <w:spacing w:line="600" w:lineRule="exact"/>
        <w:ind w:firstLine="640" w:firstLineChars="200"/>
        <w:rPr>
          <w:rFonts w:hint="eastAsia" w:ascii="黑体" w:hAnsi="黑体" w:eastAsia="黑体"/>
          <w:sz w:val="32"/>
          <w:szCs w:val="32"/>
        </w:rPr>
      </w:pPr>
      <w:r>
        <w:rPr>
          <w:rFonts w:hint="eastAsia" w:ascii="仿宋" w:hAnsi="仿宋" w:eastAsia="仿宋"/>
          <w:sz w:val="32"/>
          <w:szCs w:val="32"/>
        </w:rPr>
        <w:t>（图4：财政拨款收、支决算总计变动情况）</w:t>
      </w:r>
      <w:bookmarkStart w:id="20" w:name="_Toc15377209"/>
      <w:bookmarkStart w:id="21" w:name="_Toc15396607"/>
    </w:p>
    <w:p w14:paraId="4F3EC9F9">
      <w:pPr>
        <w:pStyle w:val="5"/>
        <w:jc w:val="center"/>
      </w:pPr>
      <w:r>
        <w:drawing>
          <wp:inline distT="0" distB="0" distL="114300" distR="114300">
            <wp:extent cx="4834255" cy="2832735"/>
            <wp:effectExtent l="4445" t="4445" r="7620" b="43180"/>
            <wp:docPr id="10" name="图表 9"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D8E410">
      <w:pPr>
        <w:pStyle w:val="6"/>
        <w:rPr>
          <w:rFonts w:hint="eastAsia"/>
        </w:rPr>
      </w:pPr>
    </w:p>
    <w:p w14:paraId="3AD00CB2">
      <w:pPr>
        <w:spacing w:line="600" w:lineRule="exact"/>
        <w:ind w:firstLine="640" w:firstLineChars="200"/>
        <w:outlineLvl w:val="1"/>
        <w:rPr>
          <w:rStyle w:val="29"/>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0"/>
      <w:bookmarkEnd w:id="21"/>
    </w:p>
    <w:p w14:paraId="044FFA5E">
      <w:pPr>
        <w:spacing w:line="600" w:lineRule="exact"/>
        <w:ind w:firstLine="643" w:firstLineChars="200"/>
        <w:outlineLvl w:val="2"/>
        <w:rPr>
          <w:rFonts w:ascii="仿宋" w:hAnsi="仿宋" w:eastAsia="仿宋"/>
          <w:b/>
          <w:sz w:val="32"/>
          <w:szCs w:val="32"/>
        </w:rPr>
      </w:pPr>
      <w:bookmarkStart w:id="22" w:name="_Toc15377210"/>
      <w:r>
        <w:rPr>
          <w:rFonts w:hint="eastAsia" w:ascii="仿宋" w:hAnsi="仿宋" w:eastAsia="仿宋"/>
          <w:b/>
          <w:sz w:val="32"/>
          <w:szCs w:val="32"/>
        </w:rPr>
        <w:t>（一）一般公共预算财政拨款支出决算总体情况</w:t>
      </w:r>
      <w:bookmarkEnd w:id="22"/>
    </w:p>
    <w:p w14:paraId="2E5C2D08">
      <w:pPr>
        <w:pStyle w:val="5"/>
        <w:numPr>
          <w:ilvl w:val="0"/>
          <w:numId w:val="0"/>
        </w:numPr>
        <w:ind w:left="640" w:leftChars="0"/>
        <w:rPr>
          <w:rFonts w:hint="eastAsia"/>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153.29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b/>
          <w:bCs/>
          <w:sz w:val="32"/>
          <w:szCs w:val="32"/>
          <w:lang w:val="en-US" w:eastAsia="zh-CN"/>
        </w:rPr>
        <w:t>5.99</w:t>
      </w:r>
      <w:r>
        <w:rPr>
          <w:rFonts w:hint="eastAsia" w:ascii="仿宋" w:hAnsi="仿宋" w:eastAsia="仿宋"/>
          <w:sz w:val="32"/>
          <w:szCs w:val="32"/>
        </w:rPr>
        <w:t>万元，增长</w:t>
      </w:r>
      <w:r>
        <w:rPr>
          <w:rFonts w:hint="eastAsia" w:ascii="仿宋" w:hAnsi="仿宋" w:eastAsia="仿宋"/>
          <w:b/>
          <w:bCs/>
          <w:sz w:val="32"/>
          <w:szCs w:val="32"/>
          <w:lang w:val="en-US" w:eastAsia="zh-CN"/>
        </w:rPr>
        <w:t>4.1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2023年</w:t>
      </w:r>
      <w:r>
        <w:rPr>
          <w:rFonts w:hint="eastAsia" w:ascii="仿宋" w:hAnsi="仿宋" w:eastAsia="仿宋"/>
          <w:color w:val="auto"/>
          <w:sz w:val="32"/>
          <w:szCs w:val="32"/>
          <w:highlight w:val="none"/>
          <w:lang w:eastAsia="zh-CN"/>
        </w:rPr>
        <w:t>人员增加，单位开支增加。</w:t>
      </w:r>
    </w:p>
    <w:p w14:paraId="7D6E02E0">
      <w:pPr>
        <w:pStyle w:val="10"/>
        <w:rPr>
          <w:rFonts w:hint="eastAsia"/>
          <w:lang w:val="en-US" w:eastAsia="zh-CN"/>
        </w:rPr>
      </w:pPr>
    </w:p>
    <w:p w14:paraId="04FED0E7">
      <w:pPr>
        <w:spacing w:line="600" w:lineRule="exact"/>
        <w:ind w:firstLine="640" w:firstLineChars="200"/>
      </w:pPr>
      <w:r>
        <w:rPr>
          <w:rFonts w:hint="eastAsia" w:ascii="仿宋" w:hAnsi="仿宋" w:eastAsia="仿宋"/>
          <w:sz w:val="32"/>
          <w:szCs w:val="32"/>
        </w:rPr>
        <w:t>（图5：一般公共预算财政拨款支出决算变动情况）</w:t>
      </w:r>
    </w:p>
    <w:p w14:paraId="703F8B61">
      <w:pPr>
        <w:pStyle w:val="6"/>
      </w:pPr>
      <w:r>
        <w:drawing>
          <wp:inline distT="0" distB="0" distL="114300" distR="114300">
            <wp:extent cx="4826635" cy="2818130"/>
            <wp:effectExtent l="4445" t="5080" r="15240" b="41910"/>
            <wp:docPr id="11" name="图表 10"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B8FBF6">
      <w:pPr>
        <w:spacing w:line="600" w:lineRule="exact"/>
        <w:ind w:firstLine="643" w:firstLineChars="200"/>
        <w:outlineLvl w:val="2"/>
        <w:rPr>
          <w:rFonts w:ascii="仿宋" w:hAnsi="仿宋" w:eastAsia="仿宋"/>
          <w:b/>
          <w:sz w:val="32"/>
          <w:szCs w:val="32"/>
        </w:rPr>
      </w:pPr>
      <w:bookmarkStart w:id="23" w:name="_Toc15377211"/>
      <w:r>
        <w:rPr>
          <w:rFonts w:hint="eastAsia" w:ascii="仿宋" w:hAnsi="仿宋" w:eastAsia="仿宋"/>
          <w:b/>
          <w:sz w:val="32"/>
          <w:szCs w:val="32"/>
        </w:rPr>
        <w:t>（二）一般公共预算财政拨款支出决算结构情况</w:t>
      </w:r>
      <w:bookmarkEnd w:id="23"/>
    </w:p>
    <w:p w14:paraId="5CD79FFB">
      <w:pPr>
        <w:keepNext w:val="0"/>
        <w:keepLines w:val="0"/>
        <w:widowControl/>
        <w:suppressLineNumbers w:val="0"/>
        <w:jc w:val="left"/>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153.29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b/>
          <w:sz w:val="32"/>
          <w:szCs w:val="32"/>
          <w:lang w:val="en-US" w:eastAsia="zh-CN"/>
        </w:rPr>
        <w:t>5</w:t>
      </w:r>
      <w:r>
        <w:rPr>
          <w:rFonts w:hint="eastAsia" w:ascii="仿宋" w:hAnsi="仿宋" w:eastAsia="仿宋"/>
          <w:b/>
          <w:sz w:val="32"/>
          <w:szCs w:val="32"/>
        </w:rPr>
        <w:t>万元</w:t>
      </w:r>
      <w:r>
        <w:rPr>
          <w:rFonts w:hint="eastAsia" w:ascii="仿宋" w:hAnsi="仿宋" w:eastAsia="仿宋"/>
          <w:b/>
          <w:bCs/>
          <w:sz w:val="32"/>
          <w:szCs w:val="32"/>
        </w:rPr>
        <w:t>，占</w:t>
      </w:r>
      <w:r>
        <w:rPr>
          <w:rFonts w:hint="eastAsia" w:ascii="仿宋" w:hAnsi="仿宋" w:eastAsia="仿宋"/>
          <w:b/>
          <w:bCs/>
          <w:sz w:val="32"/>
          <w:szCs w:val="32"/>
          <w:lang w:val="en-US" w:eastAsia="zh-CN"/>
        </w:rPr>
        <w:t>3.26</w:t>
      </w:r>
      <w:r>
        <w:rPr>
          <w:rFonts w:hint="eastAsia" w:ascii="仿宋" w:hAnsi="仿宋" w:eastAsia="仿宋"/>
          <w:b/>
          <w:bCs/>
          <w:sz w:val="32"/>
          <w:szCs w:val="32"/>
        </w:rPr>
        <w:t>%；社会保障和就业支出</w:t>
      </w:r>
      <w:r>
        <w:rPr>
          <w:rFonts w:hint="eastAsia" w:ascii="仿宋" w:hAnsi="仿宋" w:eastAsia="仿宋"/>
          <w:b/>
          <w:bCs/>
          <w:sz w:val="32"/>
          <w:szCs w:val="32"/>
          <w:lang w:val="en-US" w:eastAsia="zh-CN"/>
        </w:rPr>
        <w:t>13.58</w:t>
      </w:r>
      <w:r>
        <w:rPr>
          <w:rFonts w:hint="eastAsia" w:ascii="仿宋" w:hAnsi="仿宋" w:eastAsia="仿宋"/>
          <w:b/>
          <w:bCs/>
          <w:sz w:val="32"/>
          <w:szCs w:val="32"/>
        </w:rPr>
        <w:t>万元，占</w:t>
      </w:r>
      <w:r>
        <w:rPr>
          <w:rFonts w:hint="eastAsia" w:ascii="仿宋" w:hAnsi="仿宋" w:eastAsia="仿宋"/>
          <w:b/>
          <w:bCs/>
          <w:sz w:val="32"/>
          <w:szCs w:val="32"/>
          <w:lang w:val="en-US" w:eastAsia="zh-CN"/>
        </w:rPr>
        <w:t>8.86</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6.23</w:t>
      </w:r>
      <w:r>
        <w:rPr>
          <w:rFonts w:hint="eastAsia" w:ascii="仿宋" w:hAnsi="仿宋" w:eastAsia="仿宋"/>
          <w:b/>
          <w:bCs/>
          <w:sz w:val="32"/>
          <w:szCs w:val="32"/>
        </w:rPr>
        <w:t>万元，占</w:t>
      </w:r>
      <w:r>
        <w:rPr>
          <w:rFonts w:hint="eastAsia" w:ascii="仿宋" w:hAnsi="仿宋" w:eastAsia="仿宋"/>
          <w:b/>
          <w:bCs/>
          <w:sz w:val="32"/>
          <w:szCs w:val="32"/>
          <w:lang w:val="en-US" w:eastAsia="zh-CN"/>
        </w:rPr>
        <w:t>4.06</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12.04</w:t>
      </w:r>
      <w:r>
        <w:rPr>
          <w:rFonts w:hint="eastAsia" w:ascii="仿宋" w:hAnsi="仿宋" w:eastAsia="仿宋"/>
          <w:b/>
          <w:bCs/>
          <w:sz w:val="32"/>
          <w:szCs w:val="32"/>
        </w:rPr>
        <w:t>万元，占</w:t>
      </w:r>
      <w:r>
        <w:rPr>
          <w:rFonts w:hint="eastAsia" w:ascii="仿宋" w:hAnsi="仿宋" w:eastAsia="仿宋"/>
          <w:b/>
          <w:bCs/>
          <w:sz w:val="32"/>
          <w:szCs w:val="32"/>
          <w:lang w:val="en-US" w:eastAsia="zh-CN"/>
        </w:rPr>
        <w:t>7.85</w:t>
      </w:r>
      <w:r>
        <w:rPr>
          <w:rFonts w:hint="eastAsia" w:ascii="仿宋" w:hAnsi="仿宋" w:eastAsia="仿宋"/>
          <w:b/>
          <w:bCs/>
          <w:sz w:val="32"/>
          <w:szCs w:val="32"/>
        </w:rPr>
        <w:t>%；城乡社区支出</w:t>
      </w:r>
      <w:r>
        <w:rPr>
          <w:rFonts w:hint="eastAsia" w:ascii="仿宋" w:hAnsi="仿宋" w:eastAsia="仿宋"/>
          <w:b/>
          <w:bCs/>
          <w:sz w:val="32"/>
          <w:szCs w:val="32"/>
          <w:lang w:val="en-US" w:eastAsia="zh-CN"/>
        </w:rPr>
        <w:t>116.44万元，占75.96%</w:t>
      </w:r>
      <w:r>
        <w:rPr>
          <w:rFonts w:hint="eastAsia" w:ascii="仿宋" w:hAnsi="仿宋" w:eastAsia="仿宋"/>
          <w:b/>
          <w:bCs/>
          <w:sz w:val="32"/>
          <w:szCs w:val="32"/>
        </w:rPr>
        <w:t>。</w:t>
      </w:r>
    </w:p>
    <w:p w14:paraId="70D11CB0">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6A925A23">
      <w:pPr>
        <w:spacing w:line="600" w:lineRule="exact"/>
        <w:ind w:firstLine="640" w:firstLineChars="200"/>
        <w:rPr>
          <w:rFonts w:ascii="仿宋" w:hAnsi="仿宋" w:eastAsia="仿宋"/>
          <w:sz w:val="32"/>
          <w:szCs w:val="32"/>
        </w:rPr>
      </w:pPr>
    </w:p>
    <w:p w14:paraId="7AF04AE5">
      <w:pPr>
        <w:pStyle w:val="10"/>
      </w:pPr>
      <w:r>
        <w:rPr>
          <w:rFonts w:hint="eastAsia" w:ascii="仿宋" w:hAnsi="仿宋" w:eastAsia="仿宋"/>
          <w:sz w:val="32"/>
          <w:szCs w:val="32"/>
          <w:lang w:val="en-US" w:eastAsia="zh-CN"/>
        </w:rPr>
        <w:t xml:space="preserve">    </w:t>
      </w:r>
      <w:r>
        <w:drawing>
          <wp:inline distT="0" distB="0" distL="114300" distR="114300">
            <wp:extent cx="4742815" cy="2558415"/>
            <wp:effectExtent l="4445" t="4445" r="7620" b="1270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54D885">
      <w:pPr>
        <w:spacing w:line="600" w:lineRule="exact"/>
        <w:ind w:firstLine="643" w:firstLineChars="200"/>
        <w:outlineLvl w:val="2"/>
        <w:rPr>
          <w:rFonts w:ascii="仿宋" w:hAnsi="仿宋" w:eastAsia="仿宋"/>
          <w:b/>
          <w:sz w:val="32"/>
          <w:szCs w:val="32"/>
        </w:rPr>
      </w:pPr>
      <w:bookmarkStart w:id="24" w:name="_Toc15377212"/>
      <w:r>
        <w:rPr>
          <w:rFonts w:hint="eastAsia" w:ascii="仿宋" w:hAnsi="仿宋" w:eastAsia="仿宋"/>
          <w:b/>
          <w:sz w:val="32"/>
          <w:szCs w:val="32"/>
        </w:rPr>
        <w:t>（三）一般公共预算财政拨款支出决算具体情况</w:t>
      </w:r>
      <w:bookmarkEnd w:id="24"/>
    </w:p>
    <w:p w14:paraId="3AD1EF7D">
      <w:pPr>
        <w:spacing w:line="600" w:lineRule="exact"/>
        <w:ind w:firstLine="643" w:firstLineChars="200"/>
        <w:outlineLvl w:val="2"/>
        <w:rPr>
          <w:rFonts w:ascii="仿宋" w:hAnsi="仿宋" w:eastAsia="仿宋"/>
          <w:sz w:val="32"/>
          <w:szCs w:val="32"/>
        </w:rPr>
      </w:pPr>
      <w:bookmarkStart w:id="25" w:name="_Toc15377444"/>
      <w:bookmarkStart w:id="26" w:name="_Toc15378460"/>
      <w:bookmarkStart w:id="27" w:name="_Toc15377213"/>
      <w:r>
        <w:rPr>
          <w:rFonts w:hint="eastAsia" w:ascii="仿宋" w:hAnsi="仿宋" w:eastAsia="仿宋"/>
          <w:b/>
          <w:sz w:val="32"/>
          <w:szCs w:val="32"/>
        </w:rPr>
        <w:t>2023年度一般公共预算支出决算数为</w:t>
      </w:r>
      <w:r>
        <w:rPr>
          <w:rFonts w:ascii="仿宋" w:hAnsi="仿宋" w:eastAsia="仿宋"/>
          <w:b/>
          <w:sz w:val="32"/>
          <w:szCs w:val="32"/>
        </w:rPr>
        <w:t>153.29</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25"/>
      <w:bookmarkEnd w:id="26"/>
      <w:bookmarkEnd w:id="27"/>
    </w:p>
    <w:p w14:paraId="260F5741">
      <w:pPr>
        <w:keepNext w:val="0"/>
        <w:keepLines w:val="0"/>
        <w:widowControl/>
        <w:suppressLineNumbers w:val="0"/>
        <w:ind w:firstLine="643" w:firstLineChars="200"/>
        <w:jc w:val="left"/>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一般公共服务（类）</w:t>
      </w:r>
      <w:r>
        <w:rPr>
          <w:rStyle w:val="17"/>
          <w:rFonts w:hint="eastAsia" w:ascii="仿宋" w:hAnsi="仿宋" w:eastAsia="仿宋"/>
          <w:bCs/>
          <w:sz w:val="32"/>
          <w:szCs w:val="32"/>
          <w:lang w:val="en-US" w:eastAsia="zh-CN"/>
        </w:rPr>
        <w:t>市场监督管理事务</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质量安全监管</w:t>
      </w:r>
      <w:r>
        <w:rPr>
          <w:rStyle w:val="17"/>
          <w:rFonts w:hint="eastAsia" w:ascii="仿宋" w:hAnsi="仿宋" w:eastAsia="仿宋"/>
          <w:bCs/>
          <w:sz w:val="32"/>
          <w:szCs w:val="32"/>
        </w:rPr>
        <w:t>（项）:</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1720252F">
      <w:pPr>
        <w:keepNext w:val="0"/>
        <w:keepLines w:val="0"/>
        <w:widowControl/>
        <w:suppressLineNumbers w:val="0"/>
        <w:ind w:firstLine="643" w:firstLineChars="200"/>
        <w:jc w:val="left"/>
        <w:rPr>
          <w:rFonts w:ascii="仿宋" w:hAnsi="仿宋" w:eastAsia="仿宋"/>
          <w:b/>
          <w:sz w:val="32"/>
          <w:szCs w:val="32"/>
        </w:rPr>
      </w:pPr>
      <w:r>
        <w:rPr>
          <w:rStyle w:val="17"/>
          <w:rFonts w:ascii="仿宋" w:hAnsi="仿宋" w:eastAsia="仿宋"/>
          <w:bCs/>
          <w:sz w:val="32"/>
          <w:szCs w:val="32"/>
        </w:rPr>
        <w:t>2.</w:t>
      </w:r>
      <w:r>
        <w:rPr>
          <w:rFonts w:hint="eastAsia" w:ascii="仿宋" w:hAnsi="仿宋" w:eastAsia="仿宋"/>
          <w:b/>
          <w:bCs/>
          <w:sz w:val="32"/>
          <w:szCs w:val="32"/>
        </w:rPr>
        <w:t>住房保障</w:t>
      </w:r>
      <w:r>
        <w:rPr>
          <w:rStyle w:val="17"/>
          <w:rFonts w:hint="eastAsia" w:ascii="仿宋" w:hAnsi="仿宋" w:eastAsia="仿宋"/>
          <w:bCs/>
          <w:sz w:val="32"/>
          <w:szCs w:val="32"/>
        </w:rPr>
        <w:t>（类）</w:t>
      </w:r>
      <w:r>
        <w:rPr>
          <w:rFonts w:hint="eastAsia" w:ascii="仿宋" w:hAnsi="仿宋" w:eastAsia="仿宋"/>
          <w:b/>
          <w:bCs/>
          <w:sz w:val="32"/>
          <w:szCs w:val="32"/>
          <w:lang w:val="en-US" w:eastAsia="zh-CN"/>
        </w:rPr>
        <w:t>住房改革支出</w:t>
      </w:r>
      <w:r>
        <w:rPr>
          <w:rFonts w:hint="eastAsia" w:ascii="仿宋" w:hAnsi="仿宋" w:eastAsia="仿宋"/>
          <w:b/>
          <w:bCs/>
          <w:sz w:val="32"/>
          <w:szCs w:val="32"/>
        </w:rPr>
        <w:t>（款）</w:t>
      </w:r>
      <w:r>
        <w:rPr>
          <w:rFonts w:hint="eastAsia" w:ascii="仿宋" w:hAnsi="仿宋" w:eastAsia="仿宋"/>
          <w:b/>
          <w:bCs/>
          <w:sz w:val="32"/>
          <w:szCs w:val="32"/>
          <w:lang w:val="en-US" w:eastAsia="zh-CN"/>
        </w:rPr>
        <w:t>住房公积金</w:t>
      </w:r>
      <w:r>
        <w:rPr>
          <w:rFonts w:hint="eastAsia" w:ascii="仿宋" w:hAnsi="仿宋" w:eastAsia="仿宋"/>
          <w:b/>
          <w:bCs/>
          <w:sz w:val="32"/>
          <w:szCs w:val="32"/>
        </w:rPr>
        <w:t xml:space="preserve">（项）: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12.04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hint="eastAsia" w:ascii="仿宋" w:hAnsi="仿宋" w:eastAsia="仿宋"/>
          <w:b w:val="0"/>
          <w:bCs/>
          <w:sz w:val="32"/>
          <w:szCs w:val="32"/>
        </w:rPr>
        <w:t>%，决算数等于预算数。</w:t>
      </w:r>
    </w:p>
    <w:p w14:paraId="5F2138CB">
      <w:pPr>
        <w:keepNext w:val="0"/>
        <w:keepLines w:val="0"/>
        <w:widowControl/>
        <w:suppressLineNumbers w:val="0"/>
        <w:ind w:firstLine="643" w:firstLineChars="200"/>
        <w:jc w:val="left"/>
        <w:rPr>
          <w:rFonts w:ascii="仿宋" w:hAnsi="仿宋" w:eastAsia="仿宋"/>
          <w:b/>
          <w:sz w:val="32"/>
          <w:szCs w:val="32"/>
        </w:rPr>
      </w:pPr>
      <w:r>
        <w:rPr>
          <w:rStyle w:val="17"/>
          <w:rFonts w:ascii="仿宋" w:hAnsi="仿宋" w:eastAsia="仿宋"/>
          <w:bCs/>
          <w:sz w:val="32"/>
          <w:szCs w:val="32"/>
        </w:rPr>
        <w:t>3.</w:t>
      </w:r>
      <w:r>
        <w:rPr>
          <w:rFonts w:hint="eastAsia" w:ascii="仿宋" w:hAnsi="仿宋" w:eastAsia="仿宋"/>
          <w:b/>
          <w:bCs/>
          <w:sz w:val="32"/>
          <w:szCs w:val="32"/>
        </w:rPr>
        <w:t>城乡社区</w:t>
      </w:r>
      <w:r>
        <w:rPr>
          <w:rStyle w:val="17"/>
          <w:rFonts w:hint="eastAsia" w:ascii="仿宋" w:hAnsi="仿宋" w:eastAsia="仿宋"/>
          <w:bCs/>
          <w:sz w:val="32"/>
          <w:szCs w:val="32"/>
        </w:rPr>
        <w:t>（类</w:t>
      </w:r>
      <w:r>
        <w:rPr>
          <w:rFonts w:hint="eastAsia" w:ascii="仿宋" w:hAnsi="仿宋" w:eastAsia="仿宋"/>
          <w:b/>
          <w:bCs/>
          <w:sz w:val="32"/>
          <w:szCs w:val="32"/>
        </w:rPr>
        <w:t>）</w:t>
      </w:r>
      <w:r>
        <w:rPr>
          <w:rFonts w:hint="eastAsia" w:ascii="仿宋" w:hAnsi="仿宋" w:eastAsia="仿宋"/>
          <w:b/>
          <w:bCs/>
          <w:sz w:val="32"/>
          <w:szCs w:val="32"/>
          <w:lang w:val="en-US" w:eastAsia="zh-CN"/>
        </w:rPr>
        <w:t xml:space="preserve">建设市场管理与监督 </w:t>
      </w:r>
      <w:r>
        <w:rPr>
          <w:rFonts w:hint="eastAsia" w:ascii="仿宋" w:hAnsi="仿宋" w:eastAsia="仿宋"/>
          <w:b/>
          <w:bCs/>
          <w:sz w:val="32"/>
          <w:szCs w:val="32"/>
        </w:rPr>
        <w:t>（款）</w:t>
      </w:r>
      <w:r>
        <w:rPr>
          <w:rFonts w:hint="eastAsia" w:ascii="仿宋" w:hAnsi="仿宋" w:eastAsia="仿宋"/>
          <w:b/>
          <w:bCs/>
          <w:sz w:val="32"/>
          <w:szCs w:val="32"/>
          <w:lang w:val="en-US" w:eastAsia="zh-CN"/>
        </w:rPr>
        <w:t>建设市场管理与监督</w:t>
      </w:r>
      <w:r>
        <w:rPr>
          <w:rFonts w:hint="eastAsia" w:ascii="仿宋" w:hAnsi="仿宋" w:eastAsia="仿宋"/>
          <w:b/>
          <w:bCs/>
          <w:sz w:val="32"/>
          <w:szCs w:val="32"/>
        </w:rPr>
        <w:t>（项）:</w:t>
      </w:r>
      <w:r>
        <w:rPr>
          <w:rStyle w:val="17"/>
          <w:rFonts w:ascii="仿宋" w:hAnsi="仿宋" w:eastAsia="仿宋"/>
          <w:b w:val="0"/>
          <w:bCs/>
          <w:sz w:val="32"/>
          <w:szCs w:val="32"/>
        </w:rPr>
        <w:t xml:space="preserve"> </w:t>
      </w:r>
      <w:r>
        <w:rPr>
          <w:rStyle w:val="17"/>
          <w:rFonts w:hint="eastAsia" w:ascii="仿宋" w:hAnsi="仿宋" w:eastAsia="仿宋"/>
          <w:b w:val="0"/>
          <w:bCs/>
          <w:sz w:val="32"/>
          <w:szCs w:val="32"/>
          <w:lang w:val="en-US" w:eastAsia="zh-CN"/>
        </w:rPr>
        <w:t>支出决算为116.44万元，完成预算100%，决算数等于预算数。</w:t>
      </w:r>
    </w:p>
    <w:p w14:paraId="1D8525E3">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lang w:val="en-US" w:eastAsia="zh-CN"/>
        </w:rPr>
        <w:t>支出决算为13.58万元，完成预算100%，决算数等于预算数。</w:t>
      </w:r>
    </w:p>
    <w:p w14:paraId="678BC173">
      <w:pPr>
        <w:spacing w:line="600" w:lineRule="exact"/>
        <w:ind w:firstLine="643" w:firstLineChars="200"/>
        <w:rPr>
          <w:rStyle w:val="17"/>
          <w:rFonts w:hint="eastAsia" w:ascii="仿宋" w:hAnsi="仿宋" w:eastAsia="仿宋"/>
          <w:b w:val="0"/>
          <w:bCs/>
          <w:sz w:val="32"/>
          <w:szCs w:val="32"/>
          <w:lang w:val="en-US" w:eastAsia="zh-CN"/>
        </w:rPr>
      </w:pPr>
      <w:r>
        <w:rPr>
          <w:rStyle w:val="17"/>
          <w:rFonts w:hint="eastAsia" w:ascii="仿宋" w:hAnsi="仿宋" w:eastAsia="仿宋"/>
          <w:bCs/>
          <w:sz w:val="32"/>
          <w:szCs w:val="32"/>
          <w:lang w:val="en-US" w:eastAsia="zh-CN"/>
        </w:rPr>
        <w:t>5</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（类）行政事业单位医疗（款）事业单位医疗（项）</w:t>
      </w:r>
      <w:r>
        <w:rPr>
          <w:rStyle w:val="17"/>
          <w:rFonts w:ascii="仿宋" w:hAnsi="仿宋" w:eastAsia="仿宋"/>
          <w:bCs/>
          <w:sz w:val="32"/>
          <w:szCs w:val="32"/>
        </w:rPr>
        <w:t>:</w:t>
      </w:r>
      <w:r>
        <w:rPr>
          <w:rStyle w:val="17"/>
          <w:rFonts w:hint="eastAsia" w:ascii="仿宋" w:hAnsi="仿宋" w:eastAsia="仿宋"/>
          <w:b w:val="0"/>
          <w:bCs/>
          <w:sz w:val="32"/>
          <w:szCs w:val="32"/>
          <w:lang w:val="en-US" w:eastAsia="zh-CN"/>
        </w:rPr>
        <w:t xml:space="preserve"> 支出决算为6.23万元，完成预算100%，决算数等于预算数。</w:t>
      </w:r>
    </w:p>
    <w:p w14:paraId="4A334AD8">
      <w:pPr>
        <w:pStyle w:val="10"/>
      </w:pPr>
    </w:p>
    <w:p w14:paraId="1538E527">
      <w:pPr>
        <w:tabs>
          <w:tab w:val="right" w:pos="8306"/>
        </w:tabs>
        <w:spacing w:line="600" w:lineRule="exact"/>
        <w:ind w:firstLine="640"/>
        <w:outlineLvl w:val="1"/>
        <w:rPr>
          <w:rStyle w:val="29"/>
        </w:rPr>
      </w:pPr>
      <w:bookmarkStart w:id="28" w:name="_Toc15396608"/>
      <w:bookmarkStart w:id="2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28"/>
      <w:bookmarkEnd w:id="29"/>
      <w:r>
        <w:rPr>
          <w:rStyle w:val="29"/>
          <w:rFonts w:ascii="黑体" w:hAnsi="黑体" w:eastAsia="黑体"/>
          <w:b w:val="0"/>
        </w:rPr>
        <w:tab/>
      </w:r>
    </w:p>
    <w:p w14:paraId="17C5910B">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148.29</w:t>
      </w:r>
      <w:r>
        <w:rPr>
          <w:rFonts w:hint="eastAsia" w:ascii="仿宋" w:hAnsi="仿宋" w:eastAsia="仿宋"/>
          <w:sz w:val="32"/>
          <w:szCs w:val="32"/>
        </w:rPr>
        <w:t>万元，其中：</w:t>
      </w:r>
    </w:p>
    <w:p w14:paraId="336DDCCA">
      <w:pPr>
        <w:spacing w:line="600" w:lineRule="exact"/>
        <w:ind w:firstLine="645"/>
        <w:rPr>
          <w:rFonts w:hint="eastAsia" w:ascii="仿宋" w:hAnsi="仿宋" w:eastAsia="仿宋"/>
          <w:b w:val="0"/>
          <w:bCs w:val="0"/>
          <w:sz w:val="32"/>
          <w:szCs w:val="32"/>
        </w:rPr>
      </w:pPr>
      <w:r>
        <w:rPr>
          <w:rFonts w:hint="eastAsia" w:ascii="仿宋" w:hAnsi="仿宋" w:eastAsia="仿宋"/>
          <w:sz w:val="32"/>
          <w:szCs w:val="32"/>
        </w:rPr>
        <w:t>人员经费</w:t>
      </w:r>
      <w:r>
        <w:rPr>
          <w:rFonts w:ascii="仿宋" w:hAnsi="仿宋" w:eastAsia="仿宋"/>
          <w:b/>
          <w:sz w:val="32"/>
          <w:szCs w:val="32"/>
        </w:rPr>
        <w:t>135.63</w:t>
      </w:r>
      <w:r>
        <w:rPr>
          <w:rFonts w:hint="eastAsia" w:ascii="仿宋" w:hAnsi="仿宋" w:eastAsia="仿宋"/>
          <w:sz w:val="32"/>
          <w:szCs w:val="32"/>
        </w:rPr>
        <w:t>万元，主要包括：</w:t>
      </w:r>
      <w:r>
        <w:rPr>
          <w:rFonts w:hint="eastAsia" w:ascii="仿宋" w:hAnsi="仿宋" w:eastAsia="仿宋"/>
          <w:b w:val="0"/>
          <w:bCs w:val="0"/>
          <w:sz w:val="32"/>
          <w:szCs w:val="32"/>
        </w:rPr>
        <w:t>基本工资、津贴补贴、奖金、伙食补助费、绩效工资、机关事业单位基本养老保险缴费、其他社会保障缴费、住房公积金等。</w:t>
      </w:r>
      <w:r>
        <w:rPr>
          <w:rFonts w:ascii="仿宋" w:hAnsi="仿宋" w:eastAsia="仿宋"/>
          <w:b w:val="0"/>
          <w:bCs w:val="0"/>
          <w:sz w:val="32"/>
          <w:szCs w:val="32"/>
        </w:rPr>
        <w:br w:type="textWrapping"/>
      </w:r>
      <w:r>
        <w:rPr>
          <w:rFonts w:hint="eastAsia" w:ascii="仿宋" w:hAnsi="仿宋" w:eastAsia="仿宋"/>
          <w:sz w:val="32"/>
          <w:szCs w:val="32"/>
        </w:rPr>
        <w:t>　　公用经费</w:t>
      </w:r>
      <w:r>
        <w:rPr>
          <w:rFonts w:ascii="仿宋" w:hAnsi="仿宋" w:eastAsia="仿宋"/>
          <w:b/>
          <w:sz w:val="32"/>
          <w:szCs w:val="32"/>
        </w:rPr>
        <w:t>12.65</w:t>
      </w:r>
      <w:r>
        <w:rPr>
          <w:rFonts w:hint="eastAsia" w:ascii="仿宋" w:hAnsi="仿宋" w:eastAsia="仿宋"/>
          <w:sz w:val="32"/>
          <w:szCs w:val="32"/>
        </w:rPr>
        <w:t>万元，主要包括：</w:t>
      </w:r>
      <w:r>
        <w:rPr>
          <w:rFonts w:hint="eastAsia" w:ascii="仿宋" w:hAnsi="仿宋" w:eastAsia="仿宋"/>
          <w:b w:val="0"/>
          <w:bCs w:val="0"/>
          <w:sz w:val="32"/>
          <w:szCs w:val="32"/>
        </w:rPr>
        <w:t>办公费、印刷费、邮电费、差旅费、培训费、工会经费、其他商品和服务支出、办公设备购置等。</w:t>
      </w:r>
    </w:p>
    <w:p w14:paraId="54476968">
      <w:pPr>
        <w:pStyle w:val="10"/>
      </w:pPr>
    </w:p>
    <w:p w14:paraId="0B62FF6B">
      <w:pPr>
        <w:numPr>
          <w:ilvl w:val="0"/>
          <w:numId w:val="3"/>
        </w:numPr>
        <w:spacing w:line="600" w:lineRule="exact"/>
        <w:ind w:firstLine="640"/>
        <w:outlineLvl w:val="1"/>
        <w:rPr>
          <w:rStyle w:val="29"/>
          <w:rFonts w:hint="eastAsia" w:ascii="黑体" w:hAnsi="黑体" w:eastAsia="黑体"/>
          <w:b w:val="0"/>
        </w:rPr>
      </w:pPr>
      <w:bookmarkStart w:id="30" w:name="_Toc15377215"/>
      <w:bookmarkStart w:id="31" w:name="_Toc15396609"/>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0"/>
      <w:bookmarkEnd w:id="31"/>
    </w:p>
    <w:p w14:paraId="5FECE9CB">
      <w:pPr>
        <w:spacing w:line="600" w:lineRule="exact"/>
        <w:ind w:firstLine="640" w:firstLineChars="200"/>
        <w:rPr>
          <w:rFonts w:hint="eastAsia" w:ascii="仿宋" w:hAnsi="仿宋" w:eastAsia="仿宋"/>
          <w:sz w:val="32"/>
          <w:szCs w:val="32"/>
        </w:rPr>
      </w:pPr>
      <w:r>
        <w:rPr>
          <w:rFonts w:hint="eastAsia" w:ascii="仿宋_GB2312" w:hAnsi="仿宋" w:eastAsia="仿宋_GB2312"/>
          <w:color w:val="auto"/>
          <w:sz w:val="32"/>
          <w:szCs w:val="32"/>
          <w:highlight w:val="none"/>
          <w:lang w:val="en-US" w:eastAsia="zh-CN"/>
        </w:rPr>
        <w:t>2023年无“三公”经费预算及支出</w:t>
      </w:r>
      <w:r>
        <w:rPr>
          <w:rFonts w:hint="eastAsia" w:ascii="仿宋" w:hAnsi="仿宋" w:eastAsia="仿宋"/>
          <w:sz w:val="32"/>
          <w:szCs w:val="32"/>
        </w:rPr>
        <w:t>。</w:t>
      </w:r>
    </w:p>
    <w:p w14:paraId="0E4D186C">
      <w:pPr>
        <w:pStyle w:val="10"/>
      </w:pPr>
    </w:p>
    <w:p w14:paraId="50B202B0">
      <w:pPr>
        <w:spacing w:line="600" w:lineRule="exact"/>
        <w:ind w:firstLine="640" w:firstLineChars="200"/>
        <w:outlineLvl w:val="1"/>
        <w:rPr>
          <w:rStyle w:val="29"/>
          <w:rFonts w:ascii="黑体" w:hAnsi="黑体" w:eastAsia="黑体"/>
        </w:rPr>
      </w:pPr>
      <w:bookmarkStart w:id="32" w:name="_Toc15396610"/>
      <w:bookmarkStart w:id="33" w:name="_Toc15377218"/>
      <w:r>
        <w:rPr>
          <w:rFonts w:hint="eastAsia" w:ascii="黑体" w:eastAsia="黑体"/>
          <w:sz w:val="32"/>
          <w:szCs w:val="32"/>
        </w:rPr>
        <w:t>八、</w:t>
      </w:r>
      <w:r>
        <w:rPr>
          <w:rStyle w:val="29"/>
          <w:rFonts w:hint="eastAsia" w:ascii="黑体" w:hAnsi="黑体" w:eastAsia="黑体"/>
          <w:b w:val="0"/>
        </w:rPr>
        <w:t>政府性基金预算支出决算情况说明</w:t>
      </w:r>
      <w:bookmarkEnd w:id="32"/>
      <w:bookmarkEnd w:id="33"/>
    </w:p>
    <w:p w14:paraId="13AD965A">
      <w:pPr>
        <w:pageBreakBefore w:val="0"/>
        <w:kinsoku/>
        <w:wordWrap/>
        <w:overflowPunct/>
        <w:topLinePunct w:val="0"/>
        <w:bidi w:val="0"/>
        <w:spacing w:line="52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2023年无政府性基金预算及支出。</w:t>
      </w:r>
    </w:p>
    <w:p w14:paraId="1BEB9331">
      <w:pPr>
        <w:pStyle w:val="10"/>
      </w:pPr>
    </w:p>
    <w:p w14:paraId="757B2360">
      <w:pPr>
        <w:numPr>
          <w:ilvl w:val="0"/>
          <w:numId w:val="4"/>
        </w:numPr>
        <w:spacing w:line="600" w:lineRule="exact"/>
        <w:ind w:firstLine="640"/>
        <w:outlineLvl w:val="1"/>
        <w:rPr>
          <w:rStyle w:val="29"/>
          <w:rFonts w:ascii="黑体" w:hAnsi="黑体" w:eastAsia="黑体"/>
          <w:b w:val="0"/>
        </w:rPr>
      </w:pPr>
      <w:bookmarkStart w:id="34" w:name="_Toc15377219"/>
      <w:bookmarkStart w:id="35" w:name="_Toc15396611"/>
      <w:r>
        <w:rPr>
          <w:rStyle w:val="29"/>
          <w:rFonts w:hint="eastAsia" w:ascii="黑体" w:hAnsi="黑体" w:eastAsia="黑体"/>
          <w:b w:val="0"/>
        </w:rPr>
        <w:t>国有资本经营预算支出决算情况说明</w:t>
      </w:r>
      <w:bookmarkEnd w:id="34"/>
      <w:bookmarkEnd w:id="35"/>
    </w:p>
    <w:p w14:paraId="54A833B1">
      <w:pPr>
        <w:pageBreakBefore w:val="0"/>
        <w:kinsoku/>
        <w:wordWrap/>
        <w:overflowPunct/>
        <w:topLinePunct w:val="0"/>
        <w:bidi w:val="0"/>
        <w:spacing w:line="520" w:lineRule="exact"/>
        <w:ind w:firstLine="640" w:firstLineChars="200"/>
        <w:textAlignment w:val="auto"/>
        <w:rPr>
          <w:rFonts w:hint="eastAsia" w:ascii="仿宋_GB2312" w:hAnsi="仿宋" w:eastAsia="仿宋_GB2312"/>
          <w:color w:val="auto"/>
          <w:sz w:val="32"/>
          <w:szCs w:val="32"/>
          <w:highlight w:val="none"/>
          <w:lang w:val="en-US" w:eastAsia="zh-CN"/>
        </w:rPr>
      </w:pPr>
      <w:bookmarkStart w:id="36" w:name="_Toc15377221"/>
      <w:bookmarkStart w:id="37" w:name="_Toc15396612"/>
      <w:r>
        <w:rPr>
          <w:rFonts w:hint="eastAsia" w:ascii="仿宋_GB2312" w:hAnsi="仿宋" w:eastAsia="仿宋_GB2312"/>
          <w:color w:val="auto"/>
          <w:sz w:val="32"/>
          <w:szCs w:val="32"/>
          <w:highlight w:val="none"/>
          <w:lang w:val="en-US" w:eastAsia="zh-CN"/>
        </w:rPr>
        <w:t>2023年无国有资本经营预算及支出。</w:t>
      </w:r>
    </w:p>
    <w:p w14:paraId="529F5EDE">
      <w:pPr>
        <w:pStyle w:val="10"/>
        <w:rPr>
          <w:rFonts w:hint="eastAsia"/>
          <w:lang w:val="en-US" w:eastAsia="zh-CN"/>
        </w:rPr>
      </w:pPr>
    </w:p>
    <w:p w14:paraId="2C1CBD1E">
      <w:pPr>
        <w:numPr>
          <w:ilvl w:val="0"/>
          <w:numId w:val="4"/>
        </w:numPr>
        <w:spacing w:line="600" w:lineRule="exact"/>
        <w:ind w:firstLine="640"/>
        <w:outlineLvl w:val="1"/>
        <w:rPr>
          <w:rStyle w:val="29"/>
          <w:rFonts w:ascii="黑体" w:hAnsi="黑体" w:eastAsia="黑体"/>
          <w:b w:val="0"/>
        </w:rPr>
      </w:pPr>
      <w:r>
        <w:rPr>
          <w:rStyle w:val="29"/>
          <w:rFonts w:hint="eastAsia" w:ascii="黑体" w:hAnsi="黑体" w:eastAsia="黑体"/>
          <w:b w:val="0"/>
        </w:rPr>
        <w:t>其他重要事项的情况说明</w:t>
      </w:r>
      <w:bookmarkEnd w:id="36"/>
      <w:bookmarkEnd w:id="37"/>
    </w:p>
    <w:p w14:paraId="70542C18">
      <w:pPr>
        <w:spacing w:line="600" w:lineRule="exact"/>
        <w:ind w:firstLine="643" w:firstLineChars="200"/>
        <w:outlineLvl w:val="2"/>
        <w:rPr>
          <w:rFonts w:ascii="仿宋" w:hAnsi="仿宋" w:eastAsia="仿宋"/>
          <w:sz w:val="32"/>
          <w:szCs w:val="32"/>
        </w:rPr>
      </w:pPr>
      <w:bookmarkStart w:id="38" w:name="_Toc15377222"/>
      <w:r>
        <w:rPr>
          <w:rFonts w:hint="eastAsia" w:ascii="仿宋" w:hAnsi="仿宋" w:eastAsia="仿宋"/>
          <w:b/>
          <w:sz w:val="32"/>
          <w:szCs w:val="32"/>
        </w:rPr>
        <w:t>（一）机关运行经费支出情况</w:t>
      </w:r>
      <w:bookmarkEnd w:id="38"/>
    </w:p>
    <w:p w14:paraId="3ADCA5CE">
      <w:pPr>
        <w:pageBreakBefore w:val="0"/>
        <w:kinsoku/>
        <w:wordWrap/>
        <w:overflowPunct/>
        <w:topLinePunct w:val="0"/>
        <w:bidi w:val="0"/>
        <w:spacing w:line="520" w:lineRule="exact"/>
        <w:ind w:firstLine="640" w:firstLineChars="200"/>
        <w:textAlignment w:val="auto"/>
      </w:pPr>
      <w:r>
        <w:rPr>
          <w:rFonts w:hint="eastAsia" w:ascii="仿宋_GB2312" w:hAnsi="仿宋" w:eastAsia="仿宋_GB2312"/>
          <w:color w:val="auto"/>
          <w:sz w:val="32"/>
          <w:szCs w:val="32"/>
          <w:highlight w:val="none"/>
          <w:lang w:val="en-US" w:eastAsia="zh-CN"/>
        </w:rPr>
        <w:t>2023年，无机关运行经费支出。</w:t>
      </w:r>
    </w:p>
    <w:p w14:paraId="43207CE6">
      <w:pPr>
        <w:autoSpaceDE w:val="0"/>
        <w:autoSpaceDN w:val="0"/>
        <w:adjustRightInd w:val="0"/>
        <w:spacing w:line="600" w:lineRule="exact"/>
        <w:ind w:firstLine="643" w:firstLineChars="200"/>
        <w:jc w:val="left"/>
        <w:outlineLvl w:val="2"/>
        <w:rPr>
          <w:rFonts w:ascii="仿宋" w:hAnsi="仿宋" w:eastAsia="仿宋"/>
          <w:b/>
          <w:sz w:val="32"/>
          <w:szCs w:val="32"/>
        </w:rPr>
      </w:pPr>
      <w:bookmarkStart w:id="39" w:name="_Toc15377223"/>
      <w:r>
        <w:rPr>
          <w:rFonts w:hint="eastAsia" w:ascii="仿宋" w:hAnsi="仿宋" w:eastAsia="仿宋"/>
          <w:b/>
          <w:sz w:val="32"/>
          <w:szCs w:val="32"/>
        </w:rPr>
        <w:t>（二）政府采购支出情况</w:t>
      </w:r>
      <w:bookmarkEnd w:id="39"/>
    </w:p>
    <w:p w14:paraId="07B49077">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巴中市巴州区建设工程质量安全监督站</w:t>
      </w:r>
      <w:r>
        <w:rPr>
          <w:rFonts w:hint="eastAsia" w:ascii="仿宋_GB2312" w:eastAsia="仿宋_GB2312"/>
          <w:b/>
          <w:sz w:val="32"/>
          <w:szCs w:val="32"/>
          <w:lang w:val="en-US" w:eastAsia="zh-CN"/>
        </w:rPr>
        <w:t>无</w:t>
      </w:r>
      <w:r>
        <w:rPr>
          <w:rFonts w:hint="eastAsia" w:ascii="仿宋_GB2312" w:eastAsia="仿宋_GB2312"/>
          <w:sz w:val="32"/>
          <w:szCs w:val="32"/>
        </w:rPr>
        <w:t>政府采购支出。</w:t>
      </w:r>
    </w:p>
    <w:p w14:paraId="112F808C">
      <w:pPr>
        <w:autoSpaceDE w:val="0"/>
        <w:autoSpaceDN w:val="0"/>
        <w:adjustRightInd w:val="0"/>
        <w:spacing w:line="600" w:lineRule="exact"/>
        <w:ind w:firstLine="643" w:firstLineChars="200"/>
        <w:jc w:val="left"/>
        <w:outlineLvl w:val="2"/>
        <w:rPr>
          <w:rFonts w:ascii="仿宋" w:hAnsi="仿宋" w:eastAsia="仿宋"/>
          <w:b/>
          <w:sz w:val="32"/>
          <w:szCs w:val="32"/>
        </w:rPr>
      </w:pPr>
      <w:bookmarkStart w:id="40" w:name="_Toc15377224"/>
      <w:r>
        <w:rPr>
          <w:rFonts w:hint="eastAsia" w:ascii="仿宋" w:hAnsi="仿宋" w:eastAsia="仿宋"/>
          <w:b/>
          <w:sz w:val="32"/>
          <w:szCs w:val="32"/>
        </w:rPr>
        <w:t>（三）国有资产占有使用情况</w:t>
      </w:r>
      <w:bookmarkEnd w:id="40"/>
    </w:p>
    <w:p w14:paraId="4EFA72A3">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巴中市巴州区建设工程质量安全监督站</w:t>
      </w:r>
      <w:r>
        <w:rPr>
          <w:rFonts w:hint="eastAsia" w:ascii="仿宋_GB2312" w:eastAsia="仿宋_GB2312"/>
          <w:sz w:val="32"/>
          <w:szCs w:val="32"/>
          <w:lang w:val="en-US" w:eastAsia="zh-CN"/>
        </w:rPr>
        <w:t>无</w:t>
      </w:r>
      <w:r>
        <w:rPr>
          <w:rFonts w:hint="eastAsia" w:ascii="仿宋_GB2312" w:eastAsia="仿宋_GB2312"/>
          <w:sz w:val="32"/>
          <w:szCs w:val="32"/>
        </w:rPr>
        <w:t>车辆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w:t>
      </w:r>
    </w:p>
    <w:p w14:paraId="3702E859">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94D36BD">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根据预算绩效管理要求，本单位在2023年度预算编制阶段，组织对质量安全监督工作经费项目开展了预算事前绩效评估，对</w:t>
      </w:r>
      <w:r>
        <w:rPr>
          <w:rFonts w:hint="eastAsia" w:ascii="仿宋_GB2312" w:eastAsia="仿宋_GB2312"/>
          <w:sz w:val="32"/>
          <w:szCs w:val="32"/>
          <w:lang w:val="en-US" w:eastAsia="zh-CN"/>
        </w:rPr>
        <w:t>1</w:t>
      </w:r>
      <w:r>
        <w:rPr>
          <w:rFonts w:hint="eastAsia" w:ascii="仿宋_GB2312" w:eastAsia="仿宋_GB2312"/>
          <w:sz w:val="32"/>
          <w:szCs w:val="32"/>
        </w:rPr>
        <w:t>个项目编制了绩效目标，预算执行过程中，选</w:t>
      </w:r>
      <w:bookmarkStart w:id="59" w:name="_GoBack"/>
      <w:r>
        <w:rPr>
          <w:rFonts w:hint="eastAsia" w:ascii="仿宋_GB2312" w:eastAsia="仿宋_GB2312"/>
          <w:sz w:val="32"/>
          <w:szCs w:val="32"/>
          <w:highlight w:val="none"/>
        </w:rPr>
        <w:t>取</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个项目开展绩效监控，组织对</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个项目开展绩效自评，绩效自评表详见第四部分附件。</w:t>
      </w:r>
      <w:bookmarkEnd w:id="59"/>
    </w:p>
    <w:p w14:paraId="2B2833FA">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53BB8F4">
      <w:pPr>
        <w:numPr>
          <w:ilvl w:val="0"/>
          <w:numId w:val="5"/>
        </w:numPr>
        <w:spacing w:line="600" w:lineRule="exact"/>
        <w:ind w:firstLine="660" w:firstLineChars="150"/>
        <w:jc w:val="center"/>
        <w:outlineLvl w:val="0"/>
        <w:rPr>
          <w:rStyle w:val="28"/>
          <w:rFonts w:ascii="黑体" w:hAnsi="黑体" w:eastAsia="黑体"/>
          <w:b w:val="0"/>
        </w:rPr>
      </w:pPr>
      <w:bookmarkStart w:id="41" w:name="_Toc15396613"/>
      <w:bookmarkStart w:id="42" w:name="_Toc15377225"/>
      <w:r>
        <w:rPr>
          <w:rFonts w:hint="eastAsia" w:ascii="黑体" w:hAnsi="黑体" w:eastAsia="黑体"/>
          <w:sz w:val="44"/>
          <w:szCs w:val="44"/>
        </w:rPr>
        <w:t>名</w:t>
      </w:r>
      <w:r>
        <w:rPr>
          <w:rStyle w:val="28"/>
          <w:rFonts w:hint="eastAsia" w:ascii="黑体" w:hAnsi="黑体" w:eastAsia="黑体"/>
          <w:b w:val="0"/>
        </w:rPr>
        <w:t>词解释</w:t>
      </w:r>
      <w:bookmarkEnd w:id="41"/>
      <w:bookmarkEnd w:id="42"/>
    </w:p>
    <w:p w14:paraId="6499D6B6">
      <w:pPr>
        <w:spacing w:line="600" w:lineRule="exact"/>
        <w:jc w:val="left"/>
        <w:rPr>
          <w:rFonts w:ascii="宋体"/>
          <w:b/>
          <w:sz w:val="44"/>
          <w:szCs w:val="44"/>
        </w:rPr>
      </w:pPr>
    </w:p>
    <w:p w14:paraId="470B2C9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282A50E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53AAC174">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431F3DAF">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0F6E1A3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16210B6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6D990ECD">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87DC98F">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0175AE13">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14:paraId="3DEE0398">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14:paraId="22E9D752">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14:paraId="16B0297F">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14:paraId="7D9B23BA">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14:paraId="58B4325B">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14:paraId="32D6218A">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14:paraId="297A45A4">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14:paraId="5CD85F1D">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14:paraId="5785DA34">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14:paraId="77AAAE6A">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14:paraId="35EA8F30">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14:paraId="3ABB58B8">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14:paraId="53642532">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14:paraId="12FFAC7C">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14:paraId="3BB4E6A5">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14:paraId="2DDACD91">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14:paraId="493999B3">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14:paraId="6D5B3EB1">
      <w:pPr>
        <w:ind w:firstLine="640" w:firstLineChars="200"/>
        <w:rPr>
          <w:rFonts w:ascii="仿宋_GB2312" w:eastAsia="仿宋_GB2312"/>
          <w:sz w:val="32"/>
          <w:szCs w:val="32"/>
        </w:rPr>
      </w:pPr>
      <w:r>
        <w:rPr>
          <w:rFonts w:hint="eastAsia" w:ascii="仿宋_GB2312" w:eastAsia="仿宋_GB2312"/>
          <w:sz w:val="32"/>
          <w:szCs w:val="32"/>
        </w:rPr>
        <w:t>……</w:t>
      </w:r>
    </w:p>
    <w:p w14:paraId="69FA9209">
      <w:pPr>
        <w:ind w:firstLine="640" w:firstLineChars="200"/>
        <w:rPr>
          <w:rFonts w:ascii="仿宋_GB2312" w:eastAsia="仿宋_GB2312"/>
          <w:sz w:val="32"/>
          <w:szCs w:val="32"/>
        </w:rPr>
      </w:pPr>
      <w:r>
        <w:rPr>
          <w:rFonts w:hint="eastAsia" w:ascii="仿宋_GB2312" w:eastAsia="仿宋_GB2312"/>
          <w:sz w:val="32"/>
          <w:szCs w:val="32"/>
        </w:rPr>
        <w:t>……</w:t>
      </w:r>
    </w:p>
    <w:p w14:paraId="05D043F2">
      <w:pPr>
        <w:ind w:firstLine="640" w:firstLineChars="200"/>
        <w:rPr>
          <w:rFonts w:ascii="仿宋_GB2312" w:eastAsia="仿宋_GB2312"/>
          <w:sz w:val="32"/>
          <w:szCs w:val="32"/>
        </w:rPr>
      </w:pPr>
      <w:r>
        <w:rPr>
          <w:rFonts w:hint="eastAsia" w:ascii="仿宋_GB2312" w:eastAsia="仿宋_GB2312"/>
          <w:sz w:val="32"/>
          <w:szCs w:val="32"/>
        </w:rPr>
        <w:t>……</w:t>
      </w:r>
    </w:p>
    <w:p w14:paraId="1C840C4A">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14:paraId="0FC8A63D">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7F24D78F">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097FE8D7">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68907ED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01E9F1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0B53CE">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120C6566">
      <w:pPr>
        <w:pStyle w:val="26"/>
        <w:spacing w:line="560" w:lineRule="exact"/>
        <w:ind w:firstLine="640" w:firstLineChars="200"/>
        <w:rPr>
          <w:rFonts w:ascii="仿宋_GB2312" w:eastAsia="仿宋_GB2312" w:cs="黑体"/>
          <w:color w:val="auto"/>
          <w:sz w:val="32"/>
          <w:szCs w:val="32"/>
        </w:rPr>
      </w:pPr>
    </w:p>
    <w:p w14:paraId="5434DB62">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105A5C34">
      <w:pPr>
        <w:spacing w:line="600" w:lineRule="exact"/>
        <w:jc w:val="center"/>
        <w:outlineLvl w:val="0"/>
        <w:rPr>
          <w:rStyle w:val="28"/>
          <w:rFonts w:ascii="黑体" w:hAnsi="黑体" w:eastAsia="黑体"/>
          <w:b w:val="0"/>
        </w:rPr>
      </w:pPr>
      <w:bookmarkStart w:id="43" w:name="_Toc15377226"/>
      <w:r>
        <w:rPr>
          <w:rFonts w:ascii="宋体"/>
          <w:b/>
          <w:sz w:val="44"/>
          <w:szCs w:val="44"/>
        </w:rPr>
        <w:br w:type="page"/>
      </w:r>
      <w:bookmarkStart w:id="44" w:name="_Toc15396614"/>
      <w:r>
        <w:rPr>
          <w:rFonts w:hint="eastAsia" w:ascii="黑体" w:hAnsi="黑体" w:eastAsia="黑体"/>
          <w:sz w:val="44"/>
          <w:szCs w:val="44"/>
        </w:rPr>
        <w:t>第</w:t>
      </w:r>
      <w:r>
        <w:rPr>
          <w:rStyle w:val="28"/>
          <w:rFonts w:hint="eastAsia" w:ascii="黑体" w:hAnsi="黑体" w:eastAsia="黑体"/>
          <w:b w:val="0"/>
        </w:rPr>
        <w:t>四部分 附件</w:t>
      </w:r>
      <w:bookmarkEnd w:id="44"/>
    </w:p>
    <w:p w14:paraId="53C092DE">
      <w:pPr>
        <w:spacing w:line="572" w:lineRule="exact"/>
        <w:jc w:val="left"/>
        <w:outlineLvl w:val="0"/>
        <w:rPr>
          <w:rFonts w:ascii="仿宋_GB2312" w:hAnsi="仿宋_GB2312" w:eastAsia="仿宋_GB2312" w:cs="仿宋_GB2312"/>
          <w:sz w:val="32"/>
          <w:szCs w:val="32"/>
        </w:rPr>
      </w:pPr>
    </w:p>
    <w:p w14:paraId="730857B8">
      <w:pPr>
        <w:spacing w:line="600" w:lineRule="exact"/>
        <w:jc w:val="center"/>
        <w:outlineLvl w:val="0"/>
        <w:rPr>
          <w:rFonts w:ascii="黑体" w:hAnsi="黑体" w:eastAsia="黑体"/>
          <w:color w:val="FF0000"/>
          <w:sz w:val="44"/>
          <w:szCs w:val="44"/>
        </w:rPr>
      </w:pPr>
      <w:bookmarkStart w:id="45" w:name="_Toc15396618"/>
      <w:r>
        <w:rPr>
          <w:rFonts w:hint="eastAsia"/>
          <w:sz w:val="32"/>
          <w:szCs w:val="32"/>
        </w:rPr>
        <w:t>部门预算项目支出绩效自评表（2023年度）</w:t>
      </w:r>
    </w:p>
    <w:p w14:paraId="63545D8C">
      <w:pPr>
        <w:pStyle w:val="14"/>
        <w:spacing w:line="560" w:lineRule="exact"/>
        <w:ind w:left="0" w:leftChars="0" w:firstLine="640"/>
        <w:rPr>
          <w:sz w:val="32"/>
        </w:rPr>
      </w:pPr>
    </w:p>
    <w:p w14:paraId="55944365">
      <w:pPr>
        <w:pStyle w:val="14"/>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14:paraId="164C3264">
      <w:pPr>
        <w:pStyle w:val="5"/>
        <w:spacing w:before="93"/>
        <w:rPr>
          <w:rFonts w:hAnsi="Calibri" w:cs="仿宋"/>
          <w:sz w:val="32"/>
          <w:szCs w:val="32"/>
        </w:rPr>
      </w:pPr>
    </w:p>
    <w:p w14:paraId="28916FE3">
      <w:pPr>
        <w:pStyle w:val="5"/>
        <w:spacing w:before="93"/>
        <w:rPr>
          <w:rFonts w:hAnsi="Calibri" w:cs="仿宋"/>
          <w:sz w:val="32"/>
          <w:szCs w:val="32"/>
        </w:rPr>
      </w:pPr>
    </w:p>
    <w:p w14:paraId="6E4D33A1">
      <w:pPr>
        <w:pStyle w:val="5"/>
        <w:spacing w:before="93"/>
        <w:rPr>
          <w:rFonts w:hAnsi="Calibri" w:cs="仿宋"/>
          <w:sz w:val="32"/>
          <w:szCs w:val="32"/>
        </w:rPr>
      </w:pPr>
    </w:p>
    <w:p w14:paraId="183C8F70">
      <w:pPr>
        <w:pStyle w:val="5"/>
        <w:spacing w:before="93"/>
        <w:rPr>
          <w:rFonts w:hAnsi="Calibri" w:cs="仿宋"/>
          <w:sz w:val="32"/>
          <w:szCs w:val="32"/>
        </w:rPr>
      </w:pPr>
    </w:p>
    <w:p w14:paraId="65EBFAAE">
      <w:pPr>
        <w:pStyle w:val="5"/>
        <w:spacing w:before="93"/>
        <w:rPr>
          <w:rFonts w:hAnsi="Calibri" w:cs="仿宋"/>
          <w:sz w:val="32"/>
          <w:szCs w:val="32"/>
        </w:rPr>
      </w:pPr>
    </w:p>
    <w:p w14:paraId="567562A2">
      <w:pPr>
        <w:pStyle w:val="5"/>
        <w:spacing w:before="93"/>
        <w:rPr>
          <w:rFonts w:hAnsi="Calibri" w:cs="仿宋"/>
          <w:sz w:val="32"/>
          <w:szCs w:val="32"/>
        </w:rPr>
      </w:pPr>
    </w:p>
    <w:p w14:paraId="609937A4">
      <w:pPr>
        <w:pStyle w:val="5"/>
        <w:spacing w:before="93"/>
        <w:rPr>
          <w:rFonts w:hAnsi="Calibri" w:cs="仿宋"/>
          <w:sz w:val="32"/>
          <w:szCs w:val="32"/>
        </w:rPr>
      </w:pPr>
    </w:p>
    <w:p w14:paraId="7074FF81">
      <w:pPr>
        <w:pStyle w:val="5"/>
        <w:spacing w:before="93"/>
        <w:rPr>
          <w:rFonts w:hAnsi="Calibri" w:cs="仿宋"/>
          <w:sz w:val="32"/>
          <w:szCs w:val="32"/>
        </w:rPr>
      </w:pPr>
    </w:p>
    <w:p w14:paraId="7A4F886C">
      <w:pPr>
        <w:pStyle w:val="5"/>
        <w:spacing w:before="93"/>
        <w:rPr>
          <w:rFonts w:hAnsi="Calibri" w:cs="仿宋"/>
          <w:sz w:val="32"/>
          <w:szCs w:val="32"/>
        </w:rPr>
      </w:pPr>
    </w:p>
    <w:p w14:paraId="5A2F4585">
      <w:pPr>
        <w:pStyle w:val="5"/>
        <w:spacing w:before="93"/>
        <w:rPr>
          <w:rFonts w:hAnsi="Calibri" w:cs="仿宋"/>
          <w:sz w:val="32"/>
          <w:szCs w:val="32"/>
        </w:rPr>
      </w:pPr>
    </w:p>
    <w:p w14:paraId="7D9AEC9A">
      <w:pPr>
        <w:pStyle w:val="5"/>
        <w:spacing w:before="93"/>
        <w:rPr>
          <w:rFonts w:hAnsi="Calibri" w:cs="仿宋"/>
          <w:sz w:val="32"/>
          <w:szCs w:val="32"/>
        </w:rPr>
      </w:pPr>
    </w:p>
    <w:p w14:paraId="07D5267D">
      <w:pPr>
        <w:pStyle w:val="5"/>
        <w:spacing w:before="93"/>
        <w:rPr>
          <w:rFonts w:hAnsi="Calibri" w:cs="仿宋"/>
          <w:sz w:val="32"/>
          <w:szCs w:val="32"/>
        </w:rPr>
      </w:pPr>
    </w:p>
    <w:p w14:paraId="3D21E780">
      <w:pPr>
        <w:pStyle w:val="6"/>
      </w:pPr>
    </w:p>
    <w:p w14:paraId="45C7DFD9">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43"/>
      <w:bookmarkEnd w:id="45"/>
      <w:bookmarkStart w:id="46" w:name="_Toc15396619"/>
    </w:p>
    <w:p w14:paraId="1BD36E47">
      <w:pPr>
        <w:pStyle w:val="3"/>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46"/>
    </w:p>
    <w:p w14:paraId="7ED504BB">
      <w:pPr>
        <w:pStyle w:val="3"/>
        <w:rPr>
          <w:rFonts w:ascii="仿宋" w:hAnsi="仿宋" w:eastAsia="仿宋"/>
        </w:rPr>
      </w:pPr>
      <w:bookmarkStart w:id="47" w:name="_Toc15396620"/>
      <w:r>
        <w:rPr>
          <w:rFonts w:hint="eastAsia" w:ascii="仿宋" w:hAnsi="仿宋" w:eastAsia="仿宋"/>
          <w:b w:val="0"/>
        </w:rPr>
        <w:t>二、收</w:t>
      </w:r>
      <w:r>
        <w:rPr>
          <w:rStyle w:val="29"/>
          <w:rFonts w:hint="eastAsia" w:ascii="仿宋" w:hAnsi="仿宋" w:eastAsia="仿宋"/>
          <w:b w:val="0"/>
          <w:bCs w:val="0"/>
        </w:rPr>
        <w:t>入决算表</w:t>
      </w:r>
      <w:bookmarkEnd w:id="47"/>
    </w:p>
    <w:p w14:paraId="61C20C87">
      <w:pPr>
        <w:pStyle w:val="3"/>
        <w:rPr>
          <w:rFonts w:ascii="仿宋" w:hAnsi="仿宋" w:eastAsia="仿宋"/>
        </w:rPr>
      </w:pPr>
      <w:bookmarkStart w:id="48"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48"/>
    </w:p>
    <w:p w14:paraId="50D1CC62">
      <w:pPr>
        <w:pStyle w:val="3"/>
        <w:rPr>
          <w:rFonts w:ascii="仿宋" w:hAnsi="仿宋" w:eastAsia="仿宋"/>
          <w:b w:val="0"/>
        </w:rPr>
      </w:pPr>
      <w:bookmarkStart w:id="49"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49"/>
    </w:p>
    <w:p w14:paraId="1680F849">
      <w:pPr>
        <w:pStyle w:val="3"/>
        <w:rPr>
          <w:rStyle w:val="29"/>
          <w:rFonts w:ascii="仿宋" w:hAnsi="仿宋" w:eastAsia="仿宋"/>
          <w:b w:val="0"/>
          <w:bCs w:val="0"/>
        </w:rPr>
      </w:pPr>
      <w:bookmarkStart w:id="50"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0"/>
      <w:bookmarkStart w:id="51" w:name="_Toc15396624"/>
    </w:p>
    <w:p w14:paraId="5056BB1A">
      <w:pPr>
        <w:pStyle w:val="3"/>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1"/>
    </w:p>
    <w:p w14:paraId="1B20D678">
      <w:pPr>
        <w:pStyle w:val="3"/>
        <w:rPr>
          <w:rFonts w:ascii="仿宋" w:hAnsi="仿宋" w:eastAsia="仿宋"/>
        </w:rPr>
      </w:pPr>
      <w:bookmarkStart w:id="52"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52"/>
    </w:p>
    <w:p w14:paraId="40DF7867">
      <w:pPr>
        <w:pStyle w:val="3"/>
        <w:rPr>
          <w:rFonts w:ascii="仿宋" w:hAnsi="仿宋" w:eastAsia="仿宋"/>
        </w:rPr>
      </w:pPr>
      <w:bookmarkStart w:id="53"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53"/>
    </w:p>
    <w:p w14:paraId="05197738">
      <w:pPr>
        <w:pStyle w:val="3"/>
        <w:rPr>
          <w:rFonts w:ascii="仿宋" w:hAnsi="仿宋" w:eastAsia="仿宋"/>
        </w:rPr>
      </w:pPr>
      <w:bookmarkStart w:id="54"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54"/>
    </w:p>
    <w:p w14:paraId="4A7F1DC2">
      <w:pPr>
        <w:pStyle w:val="3"/>
        <w:rPr>
          <w:rFonts w:ascii="仿宋" w:hAnsi="仿宋" w:eastAsia="仿宋"/>
        </w:rPr>
      </w:pPr>
      <w:bookmarkStart w:id="55" w:name="_Toc15396628"/>
      <w:r>
        <w:rPr>
          <w:rStyle w:val="29"/>
          <w:rFonts w:hint="eastAsia" w:ascii="仿宋" w:hAnsi="仿宋" w:eastAsia="仿宋"/>
          <w:b w:val="0"/>
          <w:bCs w:val="0"/>
        </w:rPr>
        <w:t>十、</w:t>
      </w:r>
      <w:bookmarkEnd w:id="55"/>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7DE6B71E">
      <w:pPr>
        <w:pStyle w:val="3"/>
        <w:rPr>
          <w:rFonts w:ascii="仿宋" w:hAnsi="仿宋" w:eastAsia="仿宋"/>
        </w:rPr>
      </w:pPr>
      <w:bookmarkStart w:id="56" w:name="_Toc15396629"/>
      <w:r>
        <w:rPr>
          <w:rStyle w:val="29"/>
          <w:rFonts w:hint="eastAsia" w:ascii="仿宋" w:hAnsi="仿宋" w:eastAsia="仿宋"/>
          <w:b w:val="0"/>
          <w:bCs w:val="0"/>
        </w:rPr>
        <w:t>十一、</w:t>
      </w:r>
      <w:bookmarkEnd w:id="56"/>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3F72656A">
      <w:pPr>
        <w:pStyle w:val="3"/>
        <w:rPr>
          <w:rFonts w:ascii="仿宋" w:hAnsi="仿宋" w:eastAsia="仿宋"/>
        </w:rPr>
      </w:pPr>
      <w:bookmarkStart w:id="57" w:name="_Toc15396630"/>
      <w:r>
        <w:rPr>
          <w:rStyle w:val="29"/>
          <w:rFonts w:hint="eastAsia" w:ascii="仿宋" w:hAnsi="仿宋" w:eastAsia="仿宋"/>
          <w:b w:val="0"/>
          <w:bCs w:val="0"/>
        </w:rPr>
        <w:t>十二、</w:t>
      </w:r>
      <w:bookmarkEnd w:id="57"/>
      <w:r>
        <w:rPr>
          <w:rStyle w:val="29"/>
          <w:rFonts w:hint="eastAsia" w:ascii="仿宋" w:hAnsi="仿宋" w:eastAsia="仿宋"/>
          <w:b w:val="0"/>
          <w:bCs w:val="0"/>
        </w:rPr>
        <w:t>国有资本经营预算财政拨款支出决算表</w:t>
      </w:r>
    </w:p>
    <w:p w14:paraId="17EDBA37">
      <w:pPr>
        <w:pStyle w:val="3"/>
        <w:rPr>
          <w:rFonts w:eastAsia="仿宋"/>
        </w:rPr>
      </w:pPr>
      <w:bookmarkStart w:id="58" w:name="_Toc15396631"/>
      <w:r>
        <w:rPr>
          <w:rStyle w:val="29"/>
          <w:rFonts w:hint="eastAsia" w:ascii="仿宋" w:hAnsi="仿宋" w:eastAsia="仿宋"/>
          <w:b w:val="0"/>
          <w:bCs w:val="0"/>
        </w:rPr>
        <w:t>十三、</w:t>
      </w:r>
      <w:bookmarkEnd w:id="58"/>
      <w:r>
        <w:rPr>
          <w:rStyle w:val="29"/>
          <w:rFonts w:hint="eastAsia" w:ascii="仿宋" w:hAnsi="仿宋" w:eastAsia="仿宋"/>
          <w:b w:val="0"/>
          <w:bCs w:val="0"/>
        </w:rPr>
        <w:t>财政拨款“三公”经费支出决算表</w:t>
      </w:r>
    </w:p>
    <w:sectPr>
      <w:headerReference r:id="rId7" w:type="default"/>
      <w:footerReference r:id="rId8"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DA5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74443">
                          <w:pPr>
                            <w:pStyle w:val="1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6574443">
                    <w:pPr>
                      <w:pStyle w:val="1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254C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3815D03">
        <w:pPr>
          <w:pStyle w:val="10"/>
          <w:jc w:val="center"/>
        </w:pPr>
        <w:r>
          <w:fldChar w:fldCharType="begin"/>
        </w:r>
        <w:r>
          <w:instrText xml:space="preserve">PAGE   \* MERGEFORMAT</w:instrText>
        </w:r>
        <w:r>
          <w:fldChar w:fldCharType="separate"/>
        </w:r>
        <w:r>
          <w:rPr>
            <w:lang w:val="zh-CN"/>
          </w:rPr>
          <w:t>15</w:t>
        </w:r>
        <w:r>
          <w:fldChar w:fldCharType="end"/>
        </w:r>
      </w:p>
    </w:sdtContent>
  </w:sdt>
  <w:p w14:paraId="5BB27D6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3104">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EF2BD">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16F3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A7C22"/>
    <w:multiLevelType w:val="singleLevel"/>
    <w:tmpl w:val="C0CA7C22"/>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Dc0YzljMDViYWVkMTE1NDYzMTMxMTYyOTU3Nz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777244E"/>
    <w:rsid w:val="081B5E94"/>
    <w:rsid w:val="0A2032A3"/>
    <w:rsid w:val="0B8A37D8"/>
    <w:rsid w:val="0D374B7C"/>
    <w:rsid w:val="0F1E6B5E"/>
    <w:rsid w:val="0F5FFB2F"/>
    <w:rsid w:val="0FFFCF60"/>
    <w:rsid w:val="10C055FF"/>
    <w:rsid w:val="118107EC"/>
    <w:rsid w:val="11DD6519"/>
    <w:rsid w:val="139551D6"/>
    <w:rsid w:val="16BB723D"/>
    <w:rsid w:val="18015F3F"/>
    <w:rsid w:val="1BE8440E"/>
    <w:rsid w:val="1D155CEE"/>
    <w:rsid w:val="1E1942BE"/>
    <w:rsid w:val="1F8A4637"/>
    <w:rsid w:val="1FDBBF84"/>
    <w:rsid w:val="20F57F95"/>
    <w:rsid w:val="240371BF"/>
    <w:rsid w:val="25711CC6"/>
    <w:rsid w:val="25C741E6"/>
    <w:rsid w:val="25F60FB5"/>
    <w:rsid w:val="276F80C0"/>
    <w:rsid w:val="27842671"/>
    <w:rsid w:val="29FD04D3"/>
    <w:rsid w:val="2ABE7A3E"/>
    <w:rsid w:val="2AFF09B6"/>
    <w:rsid w:val="2CA234A8"/>
    <w:rsid w:val="2E054FE1"/>
    <w:rsid w:val="2EFA178C"/>
    <w:rsid w:val="2EFDF86C"/>
    <w:rsid w:val="2F9D17E1"/>
    <w:rsid w:val="30B46D73"/>
    <w:rsid w:val="319F7F4E"/>
    <w:rsid w:val="356A28F1"/>
    <w:rsid w:val="357C035A"/>
    <w:rsid w:val="368E000D"/>
    <w:rsid w:val="3801554A"/>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88F05A7"/>
    <w:rsid w:val="68F26604"/>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link w:val="25"/>
    <w:qFormat/>
    <w:uiPriority w:val="99"/>
    <w:pPr>
      <w:spacing w:beforeLines="30"/>
    </w:pPr>
    <w:rPr>
      <w:rFonts w:ascii="仿宋_GB2312" w:eastAsia="仿宋_GB2312"/>
      <w:kern w:val="0"/>
      <w:sz w:val="30"/>
    </w:rPr>
  </w:style>
  <w:style w:type="paragraph" w:customStyle="1" w:styleId="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2"/>
    <w:qFormat/>
    <w:uiPriority w:val="9"/>
    <w:rPr>
      <w:rFonts w:ascii="Times New Roman" w:hAnsi="Times New Roman"/>
      <w:b/>
      <w:bCs/>
      <w:kern w:val="44"/>
      <w:sz w:val="44"/>
      <w:szCs w:val="44"/>
    </w:rPr>
  </w:style>
  <w:style w:type="character" w:customStyle="1" w:styleId="29">
    <w:name w:val="标题 2 字符"/>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3.xml"/><Relationship Id="rId1" Type="http://schemas.openxmlformats.org/officeDocument/2006/relationships/oleObject" Target="file:///G:\&#21508;&#31181;&#36164;&#26009;\&#36136;&#23433;&#31449;\23&#24180;&#20915;&#31639;\2023n&#24180;&#24230;&#20915;&#31639;&#20844;&#24320;\&#24037;&#20316;&#31807;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21508;&#31181;&#36164;&#26009;\&#36136;&#23433;&#31449;\23&#24180;&#20915;&#31639;\2023n&#24180;&#24230;&#20915;&#31639;&#20844;&#24320;\&#24037;&#20316;&#3180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1508;&#31181;&#36164;&#26009;\&#36136;&#23433;&#31449;\23&#24180;&#20915;&#31639;\2023n&#24180;&#24230;&#20915;&#31639;&#20844;&#24320;\&#24037;&#20316;&#31807;1.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G:\&#21508;&#31181;&#36164;&#26009;\&#36136;&#23433;&#31449;\23&#24180;&#20915;&#31639;\2023n&#24180;&#24230;&#20915;&#31639;&#20844;&#24320;\&#24037;&#20316;&#31807;1.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oleObject" Target="file:///G:\&#21508;&#31181;&#36164;&#26009;\&#36136;&#23433;&#31449;\23&#24180;&#20915;&#31639;\2023n&#24180;&#24230;&#20915;&#31639;&#20844;&#24320;\&#24037;&#20316;&#3180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21508;&#31181;&#36164;&#26009;\&#36136;&#23433;&#31449;\23&#24180;&#20915;&#31639;\2023n&#24180;&#24230;&#20915;&#31639;&#20844;&#24320;\&#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gradFill>
              <a:gsLst>
                <a:gs pos="0">
                  <a:srgbClr val="EE5596"/>
                </a:gs>
                <a:gs pos="100000">
                  <a:srgbClr val="F9B621"/>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[工作簿1.xlsx]Sheet1!$H$20:$H$21</c:f>
              <c:strCache>
                <c:ptCount val="2"/>
                <c:pt idx="0">
                  <c:v>2022年收入</c:v>
                </c:pt>
                <c:pt idx="1">
                  <c:v>2023年收入</c:v>
                </c:pt>
              </c:strCache>
            </c:strRef>
          </c:cat>
          <c:val>
            <c:numRef>
              <c:f>[工作簿1.xlsx]Sheet1!$I$20:$I$21</c:f>
              <c:numCache>
                <c:formatCode>General</c:formatCode>
                <c:ptCount val="2"/>
                <c:pt idx="0">
                  <c:v>147.3</c:v>
                </c:pt>
                <c:pt idx="1">
                  <c:v>153.29</c:v>
                </c:pt>
              </c:numCache>
            </c:numRef>
          </c:val>
        </c:ser>
        <c:dLbls>
          <c:showLegendKey val="0"/>
          <c:showVal val="1"/>
          <c:showCatName val="0"/>
          <c:showSerName val="0"/>
          <c:showPercent val="0"/>
          <c:showBubbleSize val="0"/>
        </c:dLbls>
        <c:gapWidth val="150"/>
        <c:overlap val="0"/>
        <c:axId val="688920370"/>
        <c:axId val="677320643"/>
      </c:barChart>
      <c:catAx>
        <c:axId val="68892037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77320643"/>
        <c:crosses val="autoZero"/>
        <c:auto val="1"/>
        <c:lblAlgn val="ctr"/>
        <c:lblOffset val="100"/>
        <c:noMultiLvlLbl val="0"/>
      </c:catAx>
      <c:valAx>
        <c:axId val="6773206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88920370"/>
        <c:crosses val="autoZero"/>
        <c:crossBetween val="between"/>
      </c:valAx>
      <c:spPr>
        <a:noFill/>
        <a:ln>
          <a:solidFill>
            <a:schemeClr val="bg1">
              <a:lumMod val="85000"/>
            </a:schemeClr>
          </a:solidFill>
        </a:ln>
        <a:effectLst/>
      </c:spPr>
    </c:plotArea>
    <c:plotVisOnly val="1"/>
    <c:dispBlanksAs val="gap"/>
    <c:showDLblsOverMax val="0"/>
    <c:extLst>
      <c:ext uri="{0b15fc19-7d7d-44ad-8c2d-2c3a37ce22c3}">
        <chartProps xmlns="https://web.wps.cn/et/2018/main" chartId="{2c9ae192-0481-4d10-9927-11c0ed6913b5}"/>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[工作簿1.xlsx]Sheet1!$H$47:$H$53</c:f>
              <c:strCache>
                <c:ptCount val="7"/>
                <c:pt idx="0">
                  <c:v>一般公共预算财政拨款收入</c:v>
                </c:pt>
                <c:pt idx="1">
                  <c:v>府性基金预算财政拨款收入</c:v>
                </c:pt>
                <c:pt idx="2">
                  <c:v>国有资本经营预算财政拨款收入</c:v>
                </c:pt>
                <c:pt idx="3">
                  <c:v>事业收入</c:v>
                </c:pt>
                <c:pt idx="4">
                  <c:v>经营收入</c:v>
                </c:pt>
                <c:pt idx="5">
                  <c:v>附属单位上缴收入</c:v>
                </c:pt>
                <c:pt idx="6">
                  <c:v>其他收入</c:v>
                </c:pt>
              </c:strCache>
            </c:strRef>
          </c:cat>
          <c:val>
            <c:numRef>
              <c:f>[工作簿1.xlsx]Sheet1!$I$47:$I$53</c:f>
              <c:numCache>
                <c:formatCode>0%</c:formatCode>
                <c:ptCount val="7"/>
                <c:pt idx="0">
                  <c:v>1</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c569b97-b07b-404c-b6ca-ddd86e3d5dd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[工作簿1.xlsx]Sheet1!$H$77:$H$81</c:f>
              <c:strCache>
                <c:ptCount val="5"/>
                <c:pt idx="0" c:formatCode="0%">
                  <c:v>基本支出</c:v>
                </c:pt>
                <c:pt idx="1" c:formatCode="0%">
                  <c:v>项目支出</c:v>
                </c:pt>
                <c:pt idx="2" c:formatCode="0%">
                  <c:v>上缴上级支出</c:v>
                </c:pt>
                <c:pt idx="3" c:formatCode="0%">
                  <c:v>经营支出</c:v>
                </c:pt>
                <c:pt idx="4" c:formatCode="0%">
                  <c:v>对附属单位补助支出</c:v>
                </c:pt>
              </c:strCache>
            </c:strRef>
          </c:cat>
          <c:val>
            <c:numRef>
              <c:f>[工作簿1.xlsx]Sheet1!$I$77:$I$81</c:f>
              <c:numCache>
                <c:formatCode>0.00%</c:formatCode>
                <c:ptCount val="5"/>
                <c:pt idx="0">
                  <c:v>0.9674</c:v>
                </c:pt>
                <c:pt idx="1">
                  <c:v>0.0326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0145bd3-220c-41d5-93fb-3cc8becb4b3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财政拨款收、支决算总计变动情况</a:t>
            </a:r>
          </a:p>
        </c:rich>
      </c:tx>
      <c:layout>
        <c:manualLayout>
          <c:xMode val="edge"/>
          <c:yMode val="edge"/>
          <c:x val="0.215298752462246"/>
          <c:y val="0.0336920917173608"/>
        </c:manualLayout>
      </c:layout>
      <c:overlay val="0"/>
      <c:spPr>
        <a:noFill/>
        <a:ln>
          <a:noFill/>
        </a:ln>
        <a:effectLst/>
      </c:spPr>
    </c:title>
    <c:autoTitleDeleted val="0"/>
    <c:plotArea>
      <c:layout>
        <c:manualLayout>
          <c:layoutTarget val="inner"/>
          <c:xMode val="edge"/>
          <c:yMode val="edge"/>
          <c:x val="0.0981691834825609"/>
          <c:y val="0.268844781445138"/>
          <c:w val="0.847975410931445"/>
          <c:h val="0.609924174843889"/>
        </c:manualLayout>
      </c:layout>
      <c:barChart>
        <c:barDir val="col"/>
        <c:grouping val="clustered"/>
        <c:varyColors val="0"/>
        <c:ser>
          <c:idx val="0"/>
          <c:order val="0"/>
          <c:spPr>
            <a:gradFill>
              <a:gsLst>
                <a:gs pos="0">
                  <a:srgbClr val="EE5596"/>
                </a:gs>
                <a:gs pos="100000">
                  <a:srgbClr val="F9B621"/>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[工作簿1.xlsx]Sheet1!$H$101:$I$102</c:f>
              <c:multiLvlStrCache>
                <c:ptCount val="2"/>
                <c:lvl>
                  <c:pt idx="0">
                    <c:v>147.3</c:v>
                  </c:pt>
                  <c:pt idx="1">
                    <c:v>153.29</c:v>
                  </c:pt>
                </c:lvl>
                <c:lvl>
                  <c:pt idx="0">
                    <c:v>2022年度财政拨款收、支</c:v>
                  </c:pt>
                  <c:pt idx="1">
                    <c:v>2023年度财政拨款收、支</c:v>
                  </c:pt>
                </c:lvl>
              </c:multiLvlStrCache>
            </c:multiLvlStrRef>
          </c:cat>
          <c:val>
            <c:numRef>
              <c:f>[工作簿1.xlsx]Sheet1!$I$101:$I$102</c:f>
              <c:numCache>
                <c:formatCode>General</c:formatCode>
                <c:ptCount val="2"/>
                <c:pt idx="0">
                  <c:v>147.3</c:v>
                </c:pt>
                <c:pt idx="1">
                  <c:v>153.29</c:v>
                </c:pt>
              </c:numCache>
            </c:numRef>
          </c:val>
        </c:ser>
        <c:dLbls>
          <c:showLegendKey val="0"/>
          <c:showVal val="1"/>
          <c:showCatName val="0"/>
          <c:showSerName val="0"/>
          <c:showPercent val="0"/>
          <c:showBubbleSize val="0"/>
        </c:dLbls>
        <c:gapWidth val="219"/>
        <c:overlap val="-27"/>
        <c:axId val="275607209"/>
        <c:axId val="980733229"/>
      </c:barChart>
      <c:catAx>
        <c:axId val="27560720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80733229"/>
        <c:crosses val="autoZero"/>
        <c:auto val="1"/>
        <c:lblAlgn val="ctr"/>
        <c:lblOffset val="100"/>
        <c:noMultiLvlLbl val="0"/>
      </c:catAx>
      <c:valAx>
        <c:axId val="9807332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75607209"/>
        <c:crosses val="autoZero"/>
        <c:crossBetween val="between"/>
      </c:valAx>
      <c:spPr>
        <a:noFill/>
        <a:ln>
          <a:solidFill>
            <a:schemeClr val="bg1">
              <a:lumMod val="85000"/>
            </a:schemeClr>
          </a:solidFill>
        </a:ln>
        <a:effectLst/>
      </c:spPr>
    </c:plotArea>
    <c:plotVisOnly val="1"/>
    <c:dispBlanksAs val="gap"/>
    <c:showDLblsOverMax val="0"/>
    <c:extLst>
      <c:ext uri="{0b15fc19-7d7d-44ad-8c2d-2c3a37ce22c3}">
        <chartProps xmlns="https://web.wps.cn/et/2018/main" chartId="{f52d23e7-8b18-4580-bef9-69e9754f4f5b}"/>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981691834825609"/>
          <c:y val="0.268844781445138"/>
          <c:w val="0.847975410931445"/>
          <c:h val="0.609924174843889"/>
        </c:manualLayout>
      </c:layout>
      <c:barChart>
        <c:barDir val="col"/>
        <c:grouping val="clustered"/>
        <c:varyColors val="0"/>
        <c:ser>
          <c:idx val="0"/>
          <c:order val="0"/>
          <c:spPr>
            <a:gradFill>
              <a:gsLst>
                <a:gs pos="0">
                  <a:srgbClr val="EE5596"/>
                </a:gs>
                <a:gs pos="100000">
                  <a:srgbClr val="F9B621"/>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[工作簿1.xlsx]Sheet1!$H$121:$H$122</c:f>
              <c:strCache>
                <c:ptCount val="2"/>
                <c:pt idx="0">
                  <c:v>2022年度一般公共预算财政拨款支出</c:v>
                </c:pt>
                <c:pt idx="1">
                  <c:v>2023年度一般公共预算财政拨款支出</c:v>
                </c:pt>
              </c:strCache>
            </c:strRef>
          </c:cat>
          <c:val>
            <c:numRef>
              <c:f>[工作簿1.xlsx]Sheet1!$I$121:$I$122</c:f>
              <c:numCache>
                <c:formatCode>General</c:formatCode>
                <c:ptCount val="2"/>
                <c:pt idx="0">
                  <c:v>147.3</c:v>
                </c:pt>
                <c:pt idx="1">
                  <c:v>153.29</c:v>
                </c:pt>
              </c:numCache>
            </c:numRef>
          </c:val>
        </c:ser>
        <c:dLbls>
          <c:showLegendKey val="0"/>
          <c:showVal val="1"/>
          <c:showCatName val="0"/>
          <c:showSerName val="0"/>
          <c:showPercent val="0"/>
          <c:showBubbleSize val="0"/>
        </c:dLbls>
        <c:gapWidth val="219"/>
        <c:overlap val="-27"/>
        <c:axId val="155165657"/>
        <c:axId val="310834625"/>
      </c:barChart>
      <c:catAx>
        <c:axId val="15516565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10834625"/>
        <c:crosses val="autoZero"/>
        <c:auto val="1"/>
        <c:lblAlgn val="ctr"/>
        <c:lblOffset val="100"/>
        <c:noMultiLvlLbl val="0"/>
      </c:catAx>
      <c:valAx>
        <c:axId val="3108346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55165657"/>
        <c:crosses val="autoZero"/>
        <c:crossBetween val="between"/>
      </c:valAx>
      <c:spPr>
        <a:noFill/>
        <a:ln>
          <a:solidFill>
            <a:schemeClr val="bg1">
              <a:lumMod val="85000"/>
            </a:schemeClr>
          </a:solidFill>
        </a:ln>
        <a:effectLst/>
      </c:spPr>
    </c:plotArea>
    <c:plotVisOnly val="1"/>
    <c:dispBlanksAs val="gap"/>
    <c:showDLblsOverMax val="0"/>
    <c:extLst>
      <c:ext uri="{0b15fc19-7d7d-44ad-8c2d-2c3a37ce22c3}">
        <chartProps xmlns="https://web.wps.cn/et/2018/main" chartId="{ee4a07a7-92cd-419e-838f-708b012be988}"/>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[工作簿1.xlsx]Sheet1!$H$142:$H$146</c:f>
              <c:strCache>
                <c:ptCount val="5"/>
                <c:pt idx="0">
                  <c:v>一般公共服务支出</c:v>
                </c:pt>
                <c:pt idx="1">
                  <c:v>社会保障和就业支出</c:v>
                </c:pt>
                <c:pt idx="2">
                  <c:v>卫生健康支出</c:v>
                </c:pt>
                <c:pt idx="3">
                  <c:v>住房保障支出</c:v>
                </c:pt>
                <c:pt idx="4">
                  <c:v>城乡社区支出</c:v>
                </c:pt>
              </c:strCache>
            </c:strRef>
          </c:cat>
          <c:val>
            <c:numRef>
              <c:f>[工作簿1.xlsx]Sheet1!$I$142:$I$146</c:f>
              <c:numCache>
                <c:formatCode>0.00%</c:formatCode>
                <c:ptCount val="5"/>
                <c:pt idx="0">
                  <c:v>0.0326</c:v>
                </c:pt>
                <c:pt idx="1">
                  <c:v>0.0886</c:v>
                </c:pt>
                <c:pt idx="2">
                  <c:v>0.0406</c:v>
                </c:pt>
                <c:pt idx="3">
                  <c:v>0.0785</c:v>
                </c:pt>
                <c:pt idx="4">
                  <c:v>0.7596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b446a11-3bee-463a-9fec-5f7e900a47d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661</Words>
  <Characters>680</Characters>
  <Lines>54</Lines>
  <Paragraphs>15</Paragraphs>
  <TotalTime>1</TotalTime>
  <ScaleCrop>false</ScaleCrop>
  <LinksUpToDate>false</LinksUpToDate>
  <CharactersWithSpaces>688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涛</cp:lastModifiedBy>
  <cp:lastPrinted>2023-08-03T02:35:00Z</cp:lastPrinted>
  <dcterms:modified xsi:type="dcterms:W3CDTF">2024-11-14T00:45:30Z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E21DBAD556C5494DA5A94F5EB056A479_12</vt:lpwstr>
  </property>
</Properties>
</file>