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392A9">
      <w:pPr>
        <w:pStyle w:val="2"/>
        <w:spacing w:before="185" w:line="187" w:lineRule="auto"/>
        <w:rPr>
          <w:rFonts w:hint="eastAsia" w:ascii="方正黑体_GBK" w:hAnsi="方正黑体_GBK" w:eastAsia="方正黑体_GBK" w:cs="方正黑体_GBK"/>
          <w:spacing w:val="8"/>
          <w:sz w:val="32"/>
          <w:szCs w:val="32"/>
          <w:lang w:eastAsia="zh-CN"/>
        </w:rPr>
      </w:pPr>
      <w:r>
        <w:rPr>
          <w:rFonts w:hint="eastAsia" w:ascii="方正黑体_GBK" w:hAnsi="方正黑体_GBK" w:eastAsia="方正黑体_GBK" w:cs="方正黑体_GBK"/>
          <w:spacing w:val="8"/>
          <w:sz w:val="32"/>
          <w:szCs w:val="32"/>
          <w:lang w:eastAsia="zh-CN"/>
        </w:rPr>
        <w:t>附件</w:t>
      </w:r>
    </w:p>
    <w:p w14:paraId="01E9D8D4">
      <w:pPr>
        <w:pStyle w:val="2"/>
        <w:spacing w:before="185" w:line="187" w:lineRule="auto"/>
        <w:ind w:left="963"/>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pacing w:val="8"/>
          <w:sz w:val="44"/>
          <w:szCs w:val="44"/>
        </w:rPr>
        <w:t>巴州区进一步推动建筑业高质量发展若干措施任务清单</w:t>
      </w:r>
    </w:p>
    <w:bookmarkEnd w:id="0"/>
    <w:p w14:paraId="094BE579">
      <w:pPr>
        <w:tabs>
          <w:tab w:val="left" w:pos="12600"/>
        </w:tabs>
        <w:spacing w:before="33"/>
      </w:pPr>
    </w:p>
    <w:tbl>
      <w:tblPr>
        <w:tblStyle w:val="9"/>
        <w:tblW w:w="14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8"/>
        <w:gridCol w:w="607"/>
        <w:gridCol w:w="7300"/>
        <w:gridCol w:w="2194"/>
        <w:gridCol w:w="2330"/>
      </w:tblGrid>
      <w:tr w14:paraId="704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blHeader/>
          <w:jc w:val="center"/>
        </w:trPr>
        <w:tc>
          <w:tcPr>
            <w:tcW w:w="1658" w:type="dxa"/>
            <w:vAlign w:val="center"/>
          </w:tcPr>
          <w:p w14:paraId="4F206F10">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方正黑体_GBK" w:hAnsi="方正黑体_GBK" w:eastAsia="方正黑体_GBK" w:cs="方正黑体_GBK"/>
                <w:spacing w:val="0"/>
                <w:w w:val="100"/>
                <w:position w:val="0"/>
                <w:sz w:val="21"/>
                <w:szCs w:val="21"/>
              </w:rPr>
            </w:pPr>
            <w:r>
              <w:rPr>
                <w:rFonts w:hint="eastAsia" w:ascii="方正黑体_GBK" w:hAnsi="方正黑体_GBK" w:eastAsia="方正黑体_GBK" w:cs="方正黑体_GBK"/>
                <w:spacing w:val="0"/>
                <w:w w:val="100"/>
                <w:position w:val="0"/>
                <w:sz w:val="21"/>
                <w:szCs w:val="21"/>
              </w:rPr>
              <w:t>措施要点</w:t>
            </w:r>
          </w:p>
        </w:tc>
        <w:tc>
          <w:tcPr>
            <w:tcW w:w="607" w:type="dxa"/>
            <w:vAlign w:val="center"/>
          </w:tcPr>
          <w:p w14:paraId="74743F75">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方正黑体_GBK" w:hAnsi="方正黑体_GBK" w:eastAsia="方正黑体_GBK" w:cs="方正黑体_GBK"/>
                <w:spacing w:val="0"/>
                <w:w w:val="100"/>
                <w:position w:val="0"/>
                <w:sz w:val="21"/>
                <w:szCs w:val="21"/>
              </w:rPr>
            </w:pPr>
            <w:r>
              <w:rPr>
                <w:rFonts w:hint="eastAsia" w:ascii="方正黑体_GBK" w:hAnsi="方正黑体_GBK" w:eastAsia="方正黑体_GBK" w:cs="方正黑体_GBK"/>
                <w:spacing w:val="0"/>
                <w:w w:val="100"/>
                <w:position w:val="0"/>
                <w:sz w:val="21"/>
                <w:szCs w:val="21"/>
              </w:rPr>
              <w:t>序号</w:t>
            </w:r>
          </w:p>
        </w:tc>
        <w:tc>
          <w:tcPr>
            <w:tcW w:w="7300" w:type="dxa"/>
            <w:vAlign w:val="center"/>
          </w:tcPr>
          <w:p w14:paraId="70720F2C">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方正黑体_GBK" w:hAnsi="方正黑体_GBK" w:eastAsia="方正黑体_GBK" w:cs="方正黑体_GBK"/>
                <w:spacing w:val="0"/>
                <w:w w:val="100"/>
                <w:position w:val="0"/>
                <w:sz w:val="21"/>
                <w:szCs w:val="21"/>
              </w:rPr>
            </w:pPr>
            <w:r>
              <w:rPr>
                <w:rFonts w:hint="eastAsia" w:ascii="方正黑体_GBK" w:hAnsi="方正黑体_GBK" w:eastAsia="方正黑体_GBK" w:cs="方正黑体_GBK"/>
                <w:spacing w:val="0"/>
                <w:w w:val="100"/>
                <w:position w:val="0"/>
                <w:sz w:val="21"/>
                <w:szCs w:val="21"/>
              </w:rPr>
              <w:t>细化措施</w:t>
            </w:r>
          </w:p>
        </w:tc>
        <w:tc>
          <w:tcPr>
            <w:tcW w:w="2194" w:type="dxa"/>
            <w:vAlign w:val="center"/>
          </w:tcPr>
          <w:p w14:paraId="545CCD5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方正黑体_GBK" w:hAnsi="方正黑体_GBK" w:eastAsia="方正黑体_GBK" w:cs="方正黑体_GBK"/>
                <w:spacing w:val="0"/>
                <w:w w:val="100"/>
                <w:position w:val="0"/>
                <w:sz w:val="21"/>
                <w:szCs w:val="21"/>
              </w:rPr>
            </w:pPr>
            <w:r>
              <w:rPr>
                <w:rFonts w:hint="eastAsia" w:ascii="方正黑体_GBK" w:hAnsi="方正黑体_GBK" w:eastAsia="方正黑体_GBK" w:cs="方正黑体_GBK"/>
                <w:spacing w:val="0"/>
                <w:w w:val="100"/>
                <w:position w:val="0"/>
                <w:sz w:val="21"/>
                <w:szCs w:val="21"/>
              </w:rPr>
              <w:t>牵头单位</w:t>
            </w:r>
          </w:p>
        </w:tc>
        <w:tc>
          <w:tcPr>
            <w:tcW w:w="2330" w:type="dxa"/>
            <w:vAlign w:val="center"/>
          </w:tcPr>
          <w:p w14:paraId="7190A61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方正黑体_GBK" w:hAnsi="方正黑体_GBK" w:eastAsia="方正黑体_GBK" w:cs="方正黑体_GBK"/>
                <w:spacing w:val="0"/>
                <w:w w:val="100"/>
                <w:position w:val="0"/>
                <w:sz w:val="21"/>
                <w:szCs w:val="21"/>
              </w:rPr>
            </w:pPr>
            <w:r>
              <w:rPr>
                <w:rFonts w:hint="eastAsia" w:ascii="方正黑体_GBK" w:hAnsi="方正黑体_GBK" w:eastAsia="方正黑体_GBK" w:cs="方正黑体_GBK"/>
                <w:spacing w:val="0"/>
                <w:w w:val="100"/>
                <w:position w:val="0"/>
                <w:sz w:val="21"/>
                <w:szCs w:val="21"/>
              </w:rPr>
              <w:t>责任单位</w:t>
            </w:r>
          </w:p>
        </w:tc>
      </w:tr>
      <w:tr w14:paraId="0D8A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3" w:hRule="atLeast"/>
          <w:jc w:val="center"/>
        </w:trPr>
        <w:tc>
          <w:tcPr>
            <w:tcW w:w="1658" w:type="dxa"/>
            <w:vMerge w:val="restart"/>
            <w:vAlign w:val="center"/>
          </w:tcPr>
          <w:p w14:paraId="665D84B1">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lang w:eastAsia="zh-CN"/>
              </w:rPr>
              <w:t>一、</w:t>
            </w:r>
            <w:r>
              <w:rPr>
                <w:rFonts w:hint="default" w:ascii="Times New Roman" w:hAnsi="Times New Roman" w:eastAsia="方正仿宋_GBK" w:cs="Times New Roman"/>
                <w:spacing w:val="0"/>
                <w:w w:val="100"/>
                <w:position w:val="0"/>
                <w:sz w:val="21"/>
                <w:szCs w:val="21"/>
              </w:rPr>
              <w:t>发展总部经济</w:t>
            </w:r>
          </w:p>
        </w:tc>
        <w:tc>
          <w:tcPr>
            <w:tcW w:w="607" w:type="dxa"/>
            <w:vAlign w:val="center"/>
          </w:tcPr>
          <w:p w14:paraId="190D2E11">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1</w:t>
            </w:r>
          </w:p>
        </w:tc>
        <w:tc>
          <w:tcPr>
            <w:tcW w:w="7300" w:type="dxa"/>
            <w:vAlign w:val="center"/>
          </w:tcPr>
          <w:p w14:paraId="3829D50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设立总部大楼。建立建筑面积不低于1万平方米，且1年内可容纳30户以上企业的建筑业总部大厦，对入驻的本地骨干企业和市外优质迁入企业（建筑业企业资质为一级以上，监理、勘察、设计企业资质为甲级以上）房屋租赁费用按10%逐年递减；对长期参与区内重大水利、交通、市政基础设施等工程项目的入驻企业，给予下年度用房租金补贴，补贴比例不低于年度租金费用50%。建立不良入驻企业清退机制，对停止经营、偷税漏税等情形的，及时终止合约并予以清退。</w:t>
            </w:r>
          </w:p>
        </w:tc>
        <w:tc>
          <w:tcPr>
            <w:tcW w:w="2194" w:type="dxa"/>
            <w:vAlign w:val="center"/>
          </w:tcPr>
          <w:p w14:paraId="5DCBB64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区国资局</w:t>
            </w:r>
          </w:p>
        </w:tc>
        <w:tc>
          <w:tcPr>
            <w:tcW w:w="2330" w:type="dxa"/>
            <w:vAlign w:val="center"/>
          </w:tcPr>
          <w:p w14:paraId="4A76343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r>
      <w:tr w14:paraId="468A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9" w:hRule="atLeast"/>
          <w:jc w:val="center"/>
        </w:trPr>
        <w:tc>
          <w:tcPr>
            <w:tcW w:w="1658" w:type="dxa"/>
            <w:vMerge w:val="continue"/>
            <w:vAlign w:val="center"/>
          </w:tcPr>
          <w:p w14:paraId="0F3957DA">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206BA60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2</w:t>
            </w:r>
          </w:p>
        </w:tc>
        <w:tc>
          <w:tcPr>
            <w:tcW w:w="7300" w:type="dxa"/>
            <w:vAlign w:val="center"/>
          </w:tcPr>
          <w:p w14:paraId="452338A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提供政务服务。总部大楼设立“一站式”便捷政务服务窗口，发改、住建、房管、自规、执法、税务、金融等部门按照职能权限为入驻企业提供政务服务，打造具有巴州特色的“足不出户办业务”系统，并定期组织开展各类教育培训、学术交流、政策讲解、业务推介等活动。</w:t>
            </w:r>
          </w:p>
        </w:tc>
        <w:tc>
          <w:tcPr>
            <w:tcW w:w="2194" w:type="dxa"/>
            <w:vAlign w:val="center"/>
          </w:tcPr>
          <w:p w14:paraId="1333A3C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区国资局</w:t>
            </w:r>
          </w:p>
          <w:p w14:paraId="1F0991C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区行政审批和数据局</w:t>
            </w:r>
          </w:p>
        </w:tc>
        <w:tc>
          <w:tcPr>
            <w:tcW w:w="2330" w:type="dxa"/>
            <w:vAlign w:val="center"/>
          </w:tcPr>
          <w:p w14:paraId="70E5673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区发展改革局</w:t>
            </w:r>
          </w:p>
          <w:p w14:paraId="414E3D23">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p w14:paraId="2015EFE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区房管局</w:t>
            </w:r>
          </w:p>
          <w:p w14:paraId="0E0A294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区自然资源和规划分局</w:t>
            </w:r>
          </w:p>
          <w:p w14:paraId="14AAA42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区综合行政执法局</w:t>
            </w:r>
          </w:p>
          <w:p w14:paraId="3E150660">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区税务局</w:t>
            </w:r>
          </w:p>
          <w:p w14:paraId="7F014A6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区财政局</w:t>
            </w:r>
          </w:p>
        </w:tc>
      </w:tr>
      <w:tr w14:paraId="3E8A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1658" w:type="dxa"/>
            <w:vMerge w:val="continue"/>
            <w:vAlign w:val="center"/>
          </w:tcPr>
          <w:p w14:paraId="0B0142E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473DEB9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3</w:t>
            </w:r>
          </w:p>
        </w:tc>
        <w:tc>
          <w:tcPr>
            <w:tcW w:w="7300" w:type="dxa"/>
            <w:vAlign w:val="center"/>
          </w:tcPr>
          <w:p w14:paraId="02E4630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积极发展总部经济。通过东西部协作等战略发展目标，积极引进区外企业入驻落户巴州。年度计划引进二级施工企业1家。</w:t>
            </w:r>
          </w:p>
        </w:tc>
        <w:tc>
          <w:tcPr>
            <w:tcW w:w="2194" w:type="dxa"/>
            <w:vAlign w:val="center"/>
          </w:tcPr>
          <w:p w14:paraId="1F2B91F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c>
          <w:tcPr>
            <w:tcW w:w="2330" w:type="dxa"/>
            <w:vAlign w:val="center"/>
          </w:tcPr>
          <w:p w14:paraId="040E6D70">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区市场监管局</w:t>
            </w:r>
          </w:p>
        </w:tc>
      </w:tr>
      <w:tr w14:paraId="63DC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jc w:val="center"/>
        </w:trPr>
        <w:tc>
          <w:tcPr>
            <w:tcW w:w="1658" w:type="dxa"/>
            <w:vMerge w:val="restart"/>
            <w:vAlign w:val="center"/>
          </w:tcPr>
          <w:p w14:paraId="1757B44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二、培育骨干企业</w:t>
            </w:r>
          </w:p>
        </w:tc>
        <w:tc>
          <w:tcPr>
            <w:tcW w:w="607" w:type="dxa"/>
            <w:vAlign w:val="center"/>
          </w:tcPr>
          <w:p w14:paraId="68D9DCAC">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4</w:t>
            </w:r>
          </w:p>
        </w:tc>
        <w:tc>
          <w:tcPr>
            <w:tcW w:w="7300" w:type="dxa"/>
            <w:vAlign w:val="center"/>
          </w:tcPr>
          <w:p w14:paraId="1852D63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实施“建筑强企”攻坚行动。根据企业产值贡献率、对外拓展等因素综合评判，按照辖区年度建筑业产值前10位的建筑业企业或对外开拓产值占企业年度产值10%以上的建筑业企业，以及辖区年度主营收入5000万元以上的建筑业企业为基准，每年确定10家区级骨干企业，在工程业绩认定、技术职称评定、工程结算给予重点帮扶，每年表扬表彰一批上年度产值贡献突出、成长发展较大、对外开拓优秀、创优夺杯积极、科技和专利创新的建筑企业和企业家；对在库产值较低企业给予合法合规培育倾斜。</w:t>
            </w:r>
          </w:p>
        </w:tc>
        <w:tc>
          <w:tcPr>
            <w:tcW w:w="2194" w:type="dxa"/>
            <w:vAlign w:val="center"/>
          </w:tcPr>
          <w:p w14:paraId="30A314CD">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c>
          <w:tcPr>
            <w:tcW w:w="2330" w:type="dxa"/>
            <w:vAlign w:val="center"/>
          </w:tcPr>
          <w:p w14:paraId="4A24885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r>
      <w:tr w14:paraId="2FFE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jc w:val="center"/>
        </w:trPr>
        <w:tc>
          <w:tcPr>
            <w:tcW w:w="1658" w:type="dxa"/>
            <w:vMerge w:val="continue"/>
            <w:vAlign w:val="center"/>
          </w:tcPr>
          <w:p w14:paraId="4946A11A">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0BCD50CD">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5</w:t>
            </w:r>
          </w:p>
        </w:tc>
        <w:tc>
          <w:tcPr>
            <w:tcW w:w="7300" w:type="dxa"/>
            <w:vAlign w:val="center"/>
          </w:tcPr>
          <w:p w14:paraId="2D59EFF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实施“资质增项”行动。引导区属国有企业向勘察、设计、监理、检测企业资质增项；加快完成造价咨询资质申办；发展国有企业资质晋升，突破国有企业无一级施工总承包企业瓶颈。</w:t>
            </w:r>
          </w:p>
        </w:tc>
        <w:tc>
          <w:tcPr>
            <w:tcW w:w="2194" w:type="dxa"/>
            <w:vAlign w:val="center"/>
          </w:tcPr>
          <w:p w14:paraId="19DDE6C1">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区国资局</w:t>
            </w:r>
          </w:p>
        </w:tc>
        <w:tc>
          <w:tcPr>
            <w:tcW w:w="2330" w:type="dxa"/>
            <w:vAlign w:val="center"/>
          </w:tcPr>
          <w:p w14:paraId="419C260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p w14:paraId="315264D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区属国有企业</w:t>
            </w:r>
          </w:p>
        </w:tc>
      </w:tr>
      <w:tr w14:paraId="606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1658" w:type="dxa"/>
            <w:vMerge w:val="continue"/>
            <w:vAlign w:val="center"/>
          </w:tcPr>
          <w:p w14:paraId="4A6620C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4FB7B5F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6</w:t>
            </w:r>
          </w:p>
        </w:tc>
        <w:tc>
          <w:tcPr>
            <w:tcW w:w="7300" w:type="dxa"/>
            <w:vAlign w:val="center"/>
          </w:tcPr>
          <w:p w14:paraId="0B07629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实施“转型发展”行动。鼓励区属国有企业向市政、公路、水利、电力、铁路、通信、机电及其他专项工程等全领域综合发展；支持投资咨询、勘察、设计、监理、造价等企业联合重组，向全过程工程咨询服务企业转型。</w:t>
            </w:r>
          </w:p>
        </w:tc>
        <w:tc>
          <w:tcPr>
            <w:tcW w:w="2194" w:type="dxa"/>
            <w:vAlign w:val="center"/>
          </w:tcPr>
          <w:p w14:paraId="24BA51BD">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区国资局</w:t>
            </w:r>
          </w:p>
        </w:tc>
        <w:tc>
          <w:tcPr>
            <w:tcW w:w="2330" w:type="dxa"/>
            <w:vAlign w:val="center"/>
          </w:tcPr>
          <w:p w14:paraId="2A00DE0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p w14:paraId="142041E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区属国有企业</w:t>
            </w:r>
          </w:p>
        </w:tc>
      </w:tr>
      <w:tr w14:paraId="5804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58" w:type="dxa"/>
            <w:vMerge w:val="continue"/>
            <w:vAlign w:val="center"/>
          </w:tcPr>
          <w:p w14:paraId="2DA7D21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3EF859D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7</w:t>
            </w:r>
          </w:p>
        </w:tc>
        <w:tc>
          <w:tcPr>
            <w:tcW w:w="7300" w:type="dxa"/>
            <w:vAlign w:val="center"/>
          </w:tcPr>
          <w:p w14:paraId="5523387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实施“专精特新”行动。支持区内一级施工总承包企业在装配式建筑、绿色建筑、智能建造等“专精特新”领域探索发展。</w:t>
            </w:r>
          </w:p>
        </w:tc>
        <w:tc>
          <w:tcPr>
            <w:tcW w:w="2194" w:type="dxa"/>
            <w:vAlign w:val="center"/>
          </w:tcPr>
          <w:p w14:paraId="64A89C2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c>
          <w:tcPr>
            <w:tcW w:w="2330" w:type="dxa"/>
            <w:vAlign w:val="center"/>
          </w:tcPr>
          <w:p w14:paraId="1726D1E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r>
      <w:tr w14:paraId="4D3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atLeast"/>
          <w:jc w:val="center"/>
        </w:trPr>
        <w:tc>
          <w:tcPr>
            <w:tcW w:w="1658" w:type="dxa"/>
            <w:vMerge w:val="continue"/>
            <w:vAlign w:val="center"/>
          </w:tcPr>
          <w:p w14:paraId="5EC8F70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26D0892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8</w:t>
            </w:r>
          </w:p>
        </w:tc>
        <w:tc>
          <w:tcPr>
            <w:tcW w:w="7300" w:type="dxa"/>
            <w:vAlign w:val="center"/>
          </w:tcPr>
          <w:p w14:paraId="65BE0D2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实施“奖补引领”行动。对年度建筑业总产值达到2亿元的建筑业企业给予10万元资金奖补，每增加1亿元追加5万元资金奖补。对晋升施工总承包资质特级、一级的建筑业企业，分别给予200万元、50万元一次性资金奖补；对晋升水利、水电、电力、桥梁、隧道等专业承包企业资质一级的，给予10万元一次性资金奖补；对勘察、设计、监理企业晋升为综合资质、甲级资质的，分别给予100万元、20万元一次性资金奖补。对荣获“鲁班奖”“詹天佑奖”或国家优质工程金奖的建设工程，分别给予50万元一次性奖励；对荣获“天府杯”金奖、银奖和省结构示范工程的建设工程，分别给予30万元、20万元、10万元一次性奖励。</w:t>
            </w:r>
          </w:p>
        </w:tc>
        <w:tc>
          <w:tcPr>
            <w:tcW w:w="2194" w:type="dxa"/>
            <w:vAlign w:val="center"/>
          </w:tcPr>
          <w:p w14:paraId="4D49F02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position w:val="0"/>
                <w:sz w:val="21"/>
                <w:szCs w:val="21"/>
              </w:rPr>
              <w:t>区财政局</w:t>
            </w:r>
          </w:p>
        </w:tc>
        <w:tc>
          <w:tcPr>
            <w:tcW w:w="2330" w:type="dxa"/>
            <w:vAlign w:val="center"/>
          </w:tcPr>
          <w:p w14:paraId="04A8E78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position w:val="0"/>
                <w:sz w:val="21"/>
                <w:szCs w:val="21"/>
                <w:lang w:eastAsia="zh-CN"/>
              </w:rPr>
              <w:t>区住房城乡建设局</w:t>
            </w:r>
          </w:p>
        </w:tc>
      </w:tr>
      <w:tr w14:paraId="4964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1658" w:type="dxa"/>
            <w:vMerge w:val="restart"/>
            <w:vAlign w:val="center"/>
          </w:tcPr>
          <w:p w14:paraId="32C9AAD7">
            <w:pPr>
              <w:pStyle w:val="10"/>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三、鼓励企业合作</w:t>
            </w:r>
          </w:p>
        </w:tc>
        <w:tc>
          <w:tcPr>
            <w:tcW w:w="607" w:type="dxa"/>
            <w:vAlign w:val="center"/>
          </w:tcPr>
          <w:p w14:paraId="6FB21510">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9</w:t>
            </w:r>
          </w:p>
        </w:tc>
        <w:tc>
          <w:tcPr>
            <w:tcW w:w="7300" w:type="dxa"/>
            <w:vAlign w:val="center"/>
          </w:tcPr>
          <w:p w14:paraId="4FB409A5">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left"/>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支持本地企业开展对外工程承包。鼓励区属中大型骨干企业与市外大型建筑企业组建联合体，投标参与铁路、水利、高等级公路、河湖整治等重大基础设施项目建设。对以联合体方式承接的工程项目业绩予以认可。</w:t>
            </w:r>
          </w:p>
        </w:tc>
        <w:tc>
          <w:tcPr>
            <w:tcW w:w="2194" w:type="dxa"/>
            <w:vAlign w:val="center"/>
          </w:tcPr>
          <w:p w14:paraId="04E12818">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20FF1F6F">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2470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58" w:type="dxa"/>
            <w:vMerge w:val="continue"/>
            <w:vAlign w:val="center"/>
          </w:tcPr>
          <w:p w14:paraId="108779A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6ECF3848">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10</w:t>
            </w:r>
          </w:p>
        </w:tc>
        <w:tc>
          <w:tcPr>
            <w:tcW w:w="7300" w:type="dxa"/>
            <w:vAlign w:val="center"/>
          </w:tcPr>
          <w:p w14:paraId="3C2D1EC9">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left"/>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支持外地企业与本地企业合作。引导已中标的市外大中型建筑业企业通过设立独立核算的分支机构、子公司、迁移总部或与本地企业组建联合体、专业分包等方式来巴参与区属重点项目建设，提升产值落地率。</w:t>
            </w:r>
          </w:p>
        </w:tc>
        <w:tc>
          <w:tcPr>
            <w:tcW w:w="2194" w:type="dxa"/>
            <w:vAlign w:val="center"/>
          </w:tcPr>
          <w:p w14:paraId="07C5CC39">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088F82E5">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各项目业主单位</w:t>
            </w:r>
          </w:p>
        </w:tc>
      </w:tr>
      <w:tr w14:paraId="5A0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Merge w:val="continue"/>
            <w:vAlign w:val="center"/>
          </w:tcPr>
          <w:p w14:paraId="3428E57B">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2D9B033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11</w:t>
            </w:r>
          </w:p>
        </w:tc>
        <w:tc>
          <w:tcPr>
            <w:tcW w:w="7300" w:type="dxa"/>
            <w:vAlign w:val="center"/>
          </w:tcPr>
          <w:p w14:paraId="02FB17AC">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left"/>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鼓励本地建筑业企业在设计、地勘、施工、监理等方面提升竞争力，积极争取与社会投资项目合作，承揽工程业务。</w:t>
            </w:r>
          </w:p>
        </w:tc>
        <w:tc>
          <w:tcPr>
            <w:tcW w:w="2194" w:type="dxa"/>
            <w:vAlign w:val="center"/>
          </w:tcPr>
          <w:p w14:paraId="3BFF4DD3">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区房管局</w:t>
            </w:r>
          </w:p>
        </w:tc>
        <w:tc>
          <w:tcPr>
            <w:tcW w:w="2330" w:type="dxa"/>
            <w:vAlign w:val="center"/>
          </w:tcPr>
          <w:p w14:paraId="0BA8D2EC">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区投促局</w:t>
            </w:r>
          </w:p>
          <w:p w14:paraId="26C2649F">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1A08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Align w:val="center"/>
          </w:tcPr>
          <w:p w14:paraId="26B63E8E">
            <w:pPr>
              <w:pStyle w:val="10"/>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四、支持对外拓展</w:t>
            </w:r>
          </w:p>
        </w:tc>
        <w:tc>
          <w:tcPr>
            <w:tcW w:w="607" w:type="dxa"/>
            <w:vAlign w:val="center"/>
          </w:tcPr>
          <w:p w14:paraId="115A520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12</w:t>
            </w:r>
          </w:p>
        </w:tc>
        <w:tc>
          <w:tcPr>
            <w:tcW w:w="7300" w:type="dxa"/>
            <w:vAlign w:val="center"/>
          </w:tcPr>
          <w:p w14:paraId="0F0AD57B">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对年度从市外带回建筑业产值达到5000万元的建筑业企业给予10万元奖励，每增加5000万元追加10万元奖励。</w:t>
            </w:r>
          </w:p>
        </w:tc>
        <w:tc>
          <w:tcPr>
            <w:tcW w:w="2194" w:type="dxa"/>
            <w:vAlign w:val="center"/>
          </w:tcPr>
          <w:p w14:paraId="4197AA5F">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区财政局</w:t>
            </w:r>
          </w:p>
        </w:tc>
        <w:tc>
          <w:tcPr>
            <w:tcW w:w="2330" w:type="dxa"/>
            <w:vAlign w:val="center"/>
          </w:tcPr>
          <w:p w14:paraId="4D6DDE28">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区民营办</w:t>
            </w:r>
          </w:p>
          <w:p w14:paraId="647808C4">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575A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Align w:val="center"/>
          </w:tcPr>
          <w:p w14:paraId="0F0E6F4A">
            <w:pPr>
              <w:pStyle w:val="10"/>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五、发展康养建筑</w:t>
            </w:r>
          </w:p>
        </w:tc>
        <w:tc>
          <w:tcPr>
            <w:tcW w:w="607" w:type="dxa"/>
            <w:vAlign w:val="center"/>
          </w:tcPr>
          <w:p w14:paraId="6324476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13</w:t>
            </w:r>
          </w:p>
        </w:tc>
        <w:tc>
          <w:tcPr>
            <w:tcW w:w="7300" w:type="dxa"/>
            <w:vAlign w:val="center"/>
          </w:tcPr>
          <w:p w14:paraId="07A71586">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对实施的绿色康养建筑项目，在用地保障、商品房预售等方面给予支持。</w:t>
            </w:r>
          </w:p>
        </w:tc>
        <w:tc>
          <w:tcPr>
            <w:tcW w:w="2194" w:type="dxa"/>
            <w:vAlign w:val="center"/>
          </w:tcPr>
          <w:p w14:paraId="0C83E69A">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区自然资源和规划分局</w:t>
            </w:r>
          </w:p>
        </w:tc>
        <w:tc>
          <w:tcPr>
            <w:tcW w:w="2330" w:type="dxa"/>
            <w:vAlign w:val="center"/>
          </w:tcPr>
          <w:p w14:paraId="7E174E45">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区自然资源和规划分局</w:t>
            </w:r>
          </w:p>
          <w:p w14:paraId="60C01FE0">
            <w:pPr>
              <w:pStyle w:val="10"/>
              <w:keepNext w:val="0"/>
              <w:keepLines w:val="0"/>
              <w:pageBreakBefore w:val="0"/>
              <w:widowControl w:val="0"/>
              <w:kinsoku/>
              <w:wordWrap/>
              <w:overflowPunct w:val="0"/>
              <w:topLinePunct w:val="0"/>
              <w:autoSpaceDE/>
              <w:autoSpaceDN/>
              <w:bidi w:val="0"/>
              <w:adjustRightInd w:val="0"/>
              <w:snapToGrid w:val="0"/>
              <w:spacing w:line="300" w:lineRule="exact"/>
              <w:ind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区房管局</w:t>
            </w:r>
          </w:p>
        </w:tc>
      </w:tr>
      <w:tr w14:paraId="0671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1658" w:type="dxa"/>
            <w:vMerge w:val="restart"/>
            <w:vAlign w:val="center"/>
          </w:tcPr>
          <w:p w14:paraId="0C933615">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六、做强建筑劳务</w:t>
            </w:r>
          </w:p>
        </w:tc>
        <w:tc>
          <w:tcPr>
            <w:tcW w:w="607" w:type="dxa"/>
            <w:vAlign w:val="center"/>
          </w:tcPr>
          <w:p w14:paraId="37B5D2DC">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14</w:t>
            </w:r>
          </w:p>
        </w:tc>
        <w:tc>
          <w:tcPr>
            <w:tcW w:w="7300" w:type="dxa"/>
            <w:vAlign w:val="center"/>
          </w:tcPr>
          <w:p w14:paraId="64E28B13">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鼓励建筑业企业参与对建筑节能、节地、节水、节材、保护环境等性能分析以及绿色建筑等级评价，对达到绿色建筑一星级及以上等级的绿色康养建筑，在国、省评优评奖中予以优先推荐。</w:t>
            </w:r>
          </w:p>
        </w:tc>
        <w:tc>
          <w:tcPr>
            <w:tcW w:w="2194" w:type="dxa"/>
            <w:vAlign w:val="center"/>
          </w:tcPr>
          <w:p w14:paraId="5ECEBCD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5266FC7D">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巴州生态环境局</w:t>
            </w:r>
          </w:p>
          <w:p w14:paraId="45D83B4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4E39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1658" w:type="dxa"/>
            <w:vMerge w:val="continue"/>
            <w:vAlign w:val="center"/>
          </w:tcPr>
          <w:p w14:paraId="5F51C3A1">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134CD45A">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15</w:t>
            </w:r>
          </w:p>
        </w:tc>
        <w:tc>
          <w:tcPr>
            <w:tcW w:w="7300" w:type="dxa"/>
            <w:vAlign w:val="center"/>
          </w:tcPr>
          <w:p w14:paraId="29E2428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建立发展绿色康养建筑跨部门协作机制，发改、自规、住建等部门加强绿色康养建筑项目储备、规划设计和过程监管，提升绿色康养建筑供给水平。</w:t>
            </w:r>
          </w:p>
        </w:tc>
        <w:tc>
          <w:tcPr>
            <w:tcW w:w="2194" w:type="dxa"/>
            <w:vAlign w:val="center"/>
          </w:tcPr>
          <w:p w14:paraId="1A73001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区发展改革局</w:t>
            </w:r>
          </w:p>
        </w:tc>
        <w:tc>
          <w:tcPr>
            <w:tcW w:w="2330" w:type="dxa"/>
            <w:vAlign w:val="center"/>
          </w:tcPr>
          <w:p w14:paraId="0ADD569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eastAsia" w:ascii="Times New Roman" w:hAnsi="Times New Roman" w:eastAsia="方正仿宋_GBK" w:cs="Times New Roman"/>
                <w:spacing w:val="0"/>
                <w:w w:val="100"/>
                <w:sz w:val="21"/>
                <w:szCs w:val="21"/>
                <w:lang w:eastAsia="zh-CN"/>
              </w:rPr>
              <w:t>区自然资源和规划分局</w:t>
            </w:r>
          </w:p>
          <w:p w14:paraId="1A3BD82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4DF4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1658" w:type="dxa"/>
            <w:vMerge w:val="continue"/>
            <w:vAlign w:val="center"/>
          </w:tcPr>
          <w:p w14:paraId="1BD055E0">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34A0454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16</w:t>
            </w:r>
          </w:p>
        </w:tc>
        <w:tc>
          <w:tcPr>
            <w:tcW w:w="7300" w:type="dxa"/>
            <w:vAlign w:val="center"/>
          </w:tcPr>
          <w:p w14:paraId="313768F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搭建建筑劳务服务平台。发展国有劳务企业和有实力、有经验、善管理的民营建筑业企业发挥技术、资金优势，壮大建筑劳务输出队伍，逐步做大市场规模。</w:t>
            </w:r>
          </w:p>
        </w:tc>
        <w:tc>
          <w:tcPr>
            <w:tcW w:w="2194" w:type="dxa"/>
            <w:vAlign w:val="center"/>
          </w:tcPr>
          <w:p w14:paraId="6BD399E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区国资局</w:t>
            </w:r>
          </w:p>
        </w:tc>
        <w:tc>
          <w:tcPr>
            <w:tcW w:w="2330" w:type="dxa"/>
            <w:vAlign w:val="center"/>
          </w:tcPr>
          <w:p w14:paraId="68EC010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区属国有企业</w:t>
            </w:r>
          </w:p>
        </w:tc>
      </w:tr>
      <w:tr w14:paraId="0C3C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7" w:hRule="atLeast"/>
          <w:jc w:val="center"/>
        </w:trPr>
        <w:tc>
          <w:tcPr>
            <w:tcW w:w="1658" w:type="dxa"/>
            <w:vMerge w:val="restart"/>
            <w:vAlign w:val="center"/>
          </w:tcPr>
          <w:p w14:paraId="2E7EAF0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六、做强建筑劳务</w:t>
            </w:r>
          </w:p>
        </w:tc>
        <w:tc>
          <w:tcPr>
            <w:tcW w:w="607" w:type="dxa"/>
            <w:vAlign w:val="center"/>
          </w:tcPr>
          <w:p w14:paraId="1C980F5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17</w:t>
            </w:r>
          </w:p>
        </w:tc>
        <w:tc>
          <w:tcPr>
            <w:tcW w:w="7300" w:type="dxa"/>
            <w:vAlign w:val="center"/>
          </w:tcPr>
          <w:p w14:paraId="7ECD05E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做优建筑产业队伍。加强建筑产业工人产业基地建设，采取校企联合办班、定向培养等方式，培育职业化、专业化、技能化建筑产业工人队伍，提升建筑技能人才供给能力，推动巴州区新时代建筑产业工人培育基地年培育人次达200人以上。加大建筑市场职称评审工作力度，加大评审范围、专业、申报评审基本条件、申报程序、所需材料、评审时间宣传力度，协助企业对照评审标准完善职称申报工作，推动建筑市场初、中级职称人员规模进一步提高。</w:t>
            </w:r>
          </w:p>
        </w:tc>
        <w:tc>
          <w:tcPr>
            <w:tcW w:w="2194" w:type="dxa"/>
            <w:vAlign w:val="center"/>
          </w:tcPr>
          <w:p w14:paraId="33C650D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区人力资源社会保障局</w:t>
            </w:r>
          </w:p>
        </w:tc>
        <w:tc>
          <w:tcPr>
            <w:tcW w:w="2330" w:type="dxa"/>
            <w:vAlign w:val="center"/>
          </w:tcPr>
          <w:p w14:paraId="55A15E3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p w14:paraId="74006C5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区教育科技局</w:t>
            </w:r>
          </w:p>
          <w:p w14:paraId="3588A27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区水利局</w:t>
            </w:r>
          </w:p>
          <w:p w14:paraId="5C03DA8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区交通运输局</w:t>
            </w:r>
          </w:p>
        </w:tc>
      </w:tr>
      <w:tr w14:paraId="411E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58" w:type="dxa"/>
            <w:vMerge w:val="continue"/>
            <w:vAlign w:val="center"/>
          </w:tcPr>
          <w:p w14:paraId="42F8EC1D">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7B6EE82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18</w:t>
            </w:r>
          </w:p>
        </w:tc>
        <w:tc>
          <w:tcPr>
            <w:tcW w:w="7300" w:type="dxa"/>
            <w:vAlign w:val="center"/>
          </w:tcPr>
          <w:p w14:paraId="0DECBDE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加强正向人才激励。对获得“技术能手”“五一劳动奖章”等省级及以上建筑技能奖项的，分别给予培养单位20万元、10万元一次性奖励。持续开展根治欠薪专项行动，依法严厉打击恶意拖欠农民工工资违法犯罪行为。</w:t>
            </w:r>
          </w:p>
        </w:tc>
        <w:tc>
          <w:tcPr>
            <w:tcW w:w="2194" w:type="dxa"/>
            <w:vAlign w:val="center"/>
          </w:tcPr>
          <w:p w14:paraId="195D5411">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区财政局</w:t>
            </w:r>
          </w:p>
        </w:tc>
        <w:tc>
          <w:tcPr>
            <w:tcW w:w="2330" w:type="dxa"/>
            <w:vAlign w:val="center"/>
          </w:tcPr>
          <w:p w14:paraId="0B35DB9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p w14:paraId="2FF2CA1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区人力资源社会保障局</w:t>
            </w:r>
          </w:p>
        </w:tc>
      </w:tr>
      <w:tr w14:paraId="41FE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jc w:val="center"/>
        </w:trPr>
        <w:tc>
          <w:tcPr>
            <w:tcW w:w="1658" w:type="dxa"/>
            <w:vAlign w:val="center"/>
          </w:tcPr>
          <w:p w14:paraId="64EC8A61">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七、加强人才培养</w:t>
            </w:r>
          </w:p>
        </w:tc>
        <w:tc>
          <w:tcPr>
            <w:tcW w:w="607" w:type="dxa"/>
            <w:vAlign w:val="center"/>
          </w:tcPr>
          <w:p w14:paraId="68FA8C7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19</w:t>
            </w:r>
          </w:p>
        </w:tc>
        <w:tc>
          <w:tcPr>
            <w:tcW w:w="7300" w:type="dxa"/>
            <w:vAlign w:val="center"/>
          </w:tcPr>
          <w:p w14:paraId="6D20B8E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对新注册或转注册到我区建筑业企业的一级建造师、一级造价工程师和高级工程师，注册期满三年且与企业签订劳动合同并缴纳社会保险的，给予每人每年5000元奖励。对获得省级以上“优秀企业经理”“优秀项目经理”的，给予每人1万元一次性奖励。</w:t>
            </w:r>
          </w:p>
        </w:tc>
        <w:tc>
          <w:tcPr>
            <w:tcW w:w="2194" w:type="dxa"/>
            <w:vAlign w:val="center"/>
          </w:tcPr>
          <w:p w14:paraId="5DDF9EA1">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区财政局</w:t>
            </w:r>
          </w:p>
        </w:tc>
        <w:tc>
          <w:tcPr>
            <w:tcW w:w="2330" w:type="dxa"/>
            <w:vAlign w:val="center"/>
          </w:tcPr>
          <w:p w14:paraId="396128F5">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6694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1658" w:type="dxa"/>
            <w:vMerge w:val="restart"/>
            <w:vAlign w:val="center"/>
          </w:tcPr>
          <w:p w14:paraId="5DACBA9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八、加强金融服务</w:t>
            </w:r>
          </w:p>
        </w:tc>
        <w:tc>
          <w:tcPr>
            <w:tcW w:w="607" w:type="dxa"/>
            <w:vAlign w:val="center"/>
          </w:tcPr>
          <w:p w14:paraId="5AEBCD1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20</w:t>
            </w:r>
          </w:p>
        </w:tc>
        <w:tc>
          <w:tcPr>
            <w:tcW w:w="7300" w:type="dxa"/>
            <w:vAlign w:val="center"/>
          </w:tcPr>
          <w:p w14:paraId="48E429E3">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支持银行机构以建筑业企业通过审计应收账款债权作为质押标的物，或以建筑业企业经项目业主或总承包单位确认在建工程阶段性的应收账款债权作为质押标的物，提供质押贷款。</w:t>
            </w:r>
          </w:p>
        </w:tc>
        <w:tc>
          <w:tcPr>
            <w:tcW w:w="2194" w:type="dxa"/>
            <w:vAlign w:val="center"/>
          </w:tcPr>
          <w:p w14:paraId="53E25E3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区财政局</w:t>
            </w:r>
          </w:p>
        </w:tc>
        <w:tc>
          <w:tcPr>
            <w:tcW w:w="2330" w:type="dxa"/>
            <w:vAlign w:val="center"/>
          </w:tcPr>
          <w:p w14:paraId="5A6B4149">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4631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1658" w:type="dxa"/>
            <w:vMerge w:val="continue"/>
            <w:vAlign w:val="center"/>
          </w:tcPr>
          <w:p w14:paraId="276F2A94">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4299A39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21</w:t>
            </w:r>
          </w:p>
        </w:tc>
        <w:tc>
          <w:tcPr>
            <w:tcW w:w="7300" w:type="dxa"/>
            <w:vAlign w:val="center"/>
          </w:tcPr>
          <w:p w14:paraId="6EE1CC7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依法必须招标的国有资本投资建设工程业主单位要对已审计应收账款、在建工程阶段性的应收账款按银行机构要求向建筑业企业确认应付款，并与金融机构、建筑业企业签订三方账户监管指定协议。</w:t>
            </w:r>
          </w:p>
        </w:tc>
        <w:tc>
          <w:tcPr>
            <w:tcW w:w="2194" w:type="dxa"/>
            <w:vAlign w:val="center"/>
          </w:tcPr>
          <w:p w14:paraId="1F95B3C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区财政局</w:t>
            </w:r>
          </w:p>
        </w:tc>
        <w:tc>
          <w:tcPr>
            <w:tcW w:w="2330" w:type="dxa"/>
            <w:vAlign w:val="center"/>
          </w:tcPr>
          <w:p w14:paraId="08F43CB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3DA5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jc w:val="center"/>
        </w:trPr>
        <w:tc>
          <w:tcPr>
            <w:tcW w:w="1658" w:type="dxa"/>
            <w:vMerge w:val="continue"/>
            <w:vAlign w:val="center"/>
          </w:tcPr>
          <w:p w14:paraId="17072AB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58E74911">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22</w:t>
            </w:r>
          </w:p>
        </w:tc>
        <w:tc>
          <w:tcPr>
            <w:tcW w:w="7300" w:type="dxa"/>
            <w:vAlign w:val="center"/>
          </w:tcPr>
          <w:p w14:paraId="23EE467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鼓励银行机构根据企业资质等级、信用状况、承建工程量等情况，向建筑业企业综合授信（包括承兑汇票、银行保函、流动资金贷款、中长期贷款等）。</w:t>
            </w:r>
          </w:p>
        </w:tc>
        <w:tc>
          <w:tcPr>
            <w:tcW w:w="2194" w:type="dxa"/>
            <w:vAlign w:val="center"/>
          </w:tcPr>
          <w:p w14:paraId="73E5AF1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区财政局</w:t>
            </w:r>
          </w:p>
        </w:tc>
        <w:tc>
          <w:tcPr>
            <w:tcW w:w="2330" w:type="dxa"/>
            <w:vAlign w:val="center"/>
          </w:tcPr>
          <w:p w14:paraId="535C4EF1">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0BE5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1658" w:type="dxa"/>
            <w:vMerge w:val="restart"/>
            <w:vAlign w:val="center"/>
          </w:tcPr>
          <w:p w14:paraId="535B0745">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九、优化营商环境</w:t>
            </w:r>
          </w:p>
        </w:tc>
        <w:tc>
          <w:tcPr>
            <w:tcW w:w="607" w:type="dxa"/>
            <w:vAlign w:val="center"/>
          </w:tcPr>
          <w:p w14:paraId="028105C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23</w:t>
            </w:r>
          </w:p>
        </w:tc>
        <w:tc>
          <w:tcPr>
            <w:tcW w:w="7300" w:type="dxa"/>
            <w:vAlign w:val="center"/>
          </w:tcPr>
          <w:p w14:paraId="782D6B3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压实发包单位责任。招标条件不得歧视、排斥各类各层级建筑业企业，不得干预建筑业企业组建联合体参与工程建设项目，不得干预、影响建筑业企业为工程建设项目结算依法设立独立法人或财务独立核算二级机构，不得对工程建设项目业主单位依法选择建筑业企业设置障碍。</w:t>
            </w:r>
          </w:p>
        </w:tc>
        <w:tc>
          <w:tcPr>
            <w:tcW w:w="2194" w:type="dxa"/>
            <w:vAlign w:val="center"/>
          </w:tcPr>
          <w:p w14:paraId="1960B95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区发展改革局</w:t>
            </w:r>
          </w:p>
        </w:tc>
        <w:tc>
          <w:tcPr>
            <w:tcW w:w="2330" w:type="dxa"/>
            <w:vAlign w:val="center"/>
          </w:tcPr>
          <w:p w14:paraId="04A90DA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p w14:paraId="6E79F87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区国资局</w:t>
            </w:r>
          </w:p>
          <w:p w14:paraId="7A1DEDE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区城管执法分局</w:t>
            </w:r>
          </w:p>
          <w:p w14:paraId="46985283">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区综合行政执法局</w:t>
            </w:r>
          </w:p>
        </w:tc>
      </w:tr>
      <w:tr w14:paraId="604A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1658" w:type="dxa"/>
            <w:vMerge w:val="continue"/>
            <w:vAlign w:val="center"/>
          </w:tcPr>
          <w:p w14:paraId="55C6DF5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6FC9E6E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24</w:t>
            </w:r>
          </w:p>
        </w:tc>
        <w:tc>
          <w:tcPr>
            <w:tcW w:w="7300" w:type="dxa"/>
            <w:vAlign w:val="center"/>
          </w:tcPr>
          <w:p w14:paraId="62CF915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持续优化营商环境，严格执行建筑市场、施工现场“首违不罚”，营造柔性执法服务氛围。</w:t>
            </w:r>
          </w:p>
        </w:tc>
        <w:tc>
          <w:tcPr>
            <w:tcW w:w="2194" w:type="dxa"/>
            <w:vAlign w:val="center"/>
          </w:tcPr>
          <w:p w14:paraId="4586283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区城管执法分局</w:t>
            </w:r>
          </w:p>
          <w:p w14:paraId="21283C3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区综合行政执法局</w:t>
            </w:r>
          </w:p>
        </w:tc>
        <w:tc>
          <w:tcPr>
            <w:tcW w:w="2330" w:type="dxa"/>
            <w:vAlign w:val="center"/>
          </w:tcPr>
          <w:p w14:paraId="17672D0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p w14:paraId="673ABCF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区自然资源和规划分局</w:t>
            </w:r>
          </w:p>
          <w:p w14:paraId="1490E81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区行政审批和数据局</w:t>
            </w:r>
          </w:p>
        </w:tc>
      </w:tr>
      <w:tr w14:paraId="06C1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Merge w:val="continue"/>
            <w:vAlign w:val="center"/>
          </w:tcPr>
          <w:p w14:paraId="431326C0">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540376AC">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25</w:t>
            </w:r>
          </w:p>
        </w:tc>
        <w:tc>
          <w:tcPr>
            <w:tcW w:w="7300" w:type="dxa"/>
            <w:vAlign w:val="center"/>
          </w:tcPr>
          <w:p w14:paraId="70CECC9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加强利好政策宣传。招标单位依法确定中标人后，应主动推介行业管理、办事服务、统计入库、税收优惠、人力资源、企业合作等方面利好政策。</w:t>
            </w:r>
          </w:p>
        </w:tc>
        <w:tc>
          <w:tcPr>
            <w:tcW w:w="2194" w:type="dxa"/>
            <w:vAlign w:val="center"/>
          </w:tcPr>
          <w:p w14:paraId="5CB46EED">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461BFA5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区人力资源社会保障局</w:t>
            </w:r>
          </w:p>
        </w:tc>
      </w:tr>
      <w:tr w14:paraId="6570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Merge w:val="continue"/>
            <w:vAlign w:val="center"/>
          </w:tcPr>
          <w:p w14:paraId="6A975CD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20C2ECC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26</w:t>
            </w:r>
          </w:p>
        </w:tc>
        <w:tc>
          <w:tcPr>
            <w:tcW w:w="7300" w:type="dxa"/>
            <w:vAlign w:val="center"/>
          </w:tcPr>
          <w:p w14:paraId="09CC386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减轻企业负担。严格执行投标保证金、履约保证金、工程质量保证金、农民工工资保证金等有关限额和退还规定，建筑业企业可采取银行保函、专业担保公司担保函、保证保险等方式替代现金形式缴纳各类保证金。</w:t>
            </w:r>
          </w:p>
        </w:tc>
        <w:tc>
          <w:tcPr>
            <w:tcW w:w="2194" w:type="dxa"/>
            <w:vAlign w:val="center"/>
          </w:tcPr>
          <w:p w14:paraId="3C75441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区公共资源交易中心</w:t>
            </w:r>
          </w:p>
        </w:tc>
        <w:tc>
          <w:tcPr>
            <w:tcW w:w="2330" w:type="dxa"/>
            <w:vAlign w:val="center"/>
          </w:tcPr>
          <w:p w14:paraId="0F669583">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区发展改革局</w:t>
            </w:r>
          </w:p>
          <w:p w14:paraId="229AEE8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p w14:paraId="04155BB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区人力资源社会保障局</w:t>
            </w:r>
          </w:p>
        </w:tc>
      </w:tr>
      <w:tr w14:paraId="3668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658" w:type="dxa"/>
            <w:vMerge w:val="restart"/>
            <w:vAlign w:val="center"/>
          </w:tcPr>
          <w:p w14:paraId="797F3BC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十、完善招投标</w:t>
            </w:r>
          </w:p>
          <w:p w14:paraId="705A9F3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机制</w:t>
            </w:r>
          </w:p>
        </w:tc>
        <w:tc>
          <w:tcPr>
            <w:tcW w:w="607" w:type="dxa"/>
            <w:vAlign w:val="center"/>
          </w:tcPr>
          <w:p w14:paraId="461CAAE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27</w:t>
            </w:r>
          </w:p>
        </w:tc>
        <w:tc>
          <w:tcPr>
            <w:tcW w:w="7300" w:type="dxa"/>
            <w:vAlign w:val="center"/>
          </w:tcPr>
          <w:p w14:paraId="6529AEA8">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依法必须招标的建设工程应当以符合建设工程具体特点及满足最低实际需要为限度，设置资格条件和评标标准，不得设置不合理条件限制或者排斥潜在投标人。</w:t>
            </w:r>
          </w:p>
        </w:tc>
        <w:tc>
          <w:tcPr>
            <w:tcW w:w="2194" w:type="dxa"/>
            <w:vMerge w:val="restart"/>
            <w:vAlign w:val="center"/>
          </w:tcPr>
          <w:p w14:paraId="79042EE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Merge w:val="restart"/>
            <w:vAlign w:val="center"/>
          </w:tcPr>
          <w:p w14:paraId="7BC650A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各项目主管部门</w:t>
            </w:r>
          </w:p>
        </w:tc>
      </w:tr>
      <w:tr w14:paraId="6ACB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658" w:type="dxa"/>
            <w:vMerge w:val="continue"/>
            <w:vAlign w:val="center"/>
          </w:tcPr>
          <w:p w14:paraId="5075888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160570D1">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28</w:t>
            </w:r>
          </w:p>
        </w:tc>
        <w:tc>
          <w:tcPr>
            <w:tcW w:w="7300" w:type="dxa"/>
            <w:vAlign w:val="center"/>
          </w:tcPr>
          <w:p w14:paraId="42F05AF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对分期、分段验收合格的建设工程，可作为有效业绩参与招投标。</w:t>
            </w:r>
          </w:p>
        </w:tc>
        <w:tc>
          <w:tcPr>
            <w:tcW w:w="2194" w:type="dxa"/>
            <w:vMerge w:val="continue"/>
            <w:vAlign w:val="center"/>
          </w:tcPr>
          <w:p w14:paraId="6F0FDFD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2330" w:type="dxa"/>
            <w:vMerge w:val="continue"/>
            <w:vAlign w:val="center"/>
          </w:tcPr>
          <w:p w14:paraId="4D9A11B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p>
        </w:tc>
      </w:tr>
      <w:tr w14:paraId="7328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658" w:type="dxa"/>
            <w:vMerge w:val="continue"/>
            <w:vAlign w:val="center"/>
          </w:tcPr>
          <w:p w14:paraId="3B44D8B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5EA75D54">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29</w:t>
            </w:r>
          </w:p>
        </w:tc>
        <w:tc>
          <w:tcPr>
            <w:tcW w:w="7300" w:type="dxa"/>
            <w:vAlign w:val="center"/>
          </w:tcPr>
          <w:p w14:paraId="665AA71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健全招标监督检查制度，对招标文件设置不合理条件限制、排斥潜在投标人的，出具书面招标监督意见。</w:t>
            </w:r>
          </w:p>
        </w:tc>
        <w:tc>
          <w:tcPr>
            <w:tcW w:w="2194" w:type="dxa"/>
            <w:vMerge w:val="continue"/>
            <w:vAlign w:val="center"/>
          </w:tcPr>
          <w:p w14:paraId="5036F51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2330" w:type="dxa"/>
            <w:vMerge w:val="continue"/>
            <w:vAlign w:val="center"/>
          </w:tcPr>
          <w:p w14:paraId="5AEDD30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p>
        </w:tc>
      </w:tr>
      <w:tr w14:paraId="7E64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658" w:type="dxa"/>
            <w:vMerge w:val="continue"/>
            <w:vAlign w:val="center"/>
          </w:tcPr>
          <w:p w14:paraId="72903BB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08C3842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30</w:t>
            </w:r>
          </w:p>
        </w:tc>
        <w:tc>
          <w:tcPr>
            <w:tcW w:w="7300" w:type="dxa"/>
            <w:vAlign w:val="center"/>
          </w:tcPr>
          <w:p w14:paraId="63EEB5E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压实招标人依法履行招投标活动首要责任，鼓励招标人按规定委派招标人代表参与评标。</w:t>
            </w:r>
          </w:p>
        </w:tc>
        <w:tc>
          <w:tcPr>
            <w:tcW w:w="2194" w:type="dxa"/>
            <w:vMerge w:val="continue"/>
            <w:vAlign w:val="center"/>
          </w:tcPr>
          <w:p w14:paraId="4F433B7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2330" w:type="dxa"/>
            <w:vMerge w:val="continue"/>
            <w:vAlign w:val="center"/>
          </w:tcPr>
          <w:p w14:paraId="0CDC96EF">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p>
        </w:tc>
      </w:tr>
      <w:tr w14:paraId="0C9E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658" w:type="dxa"/>
            <w:vMerge w:val="continue"/>
            <w:vAlign w:val="center"/>
          </w:tcPr>
          <w:p w14:paraId="6800A462">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34962C1F">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31</w:t>
            </w:r>
          </w:p>
        </w:tc>
        <w:tc>
          <w:tcPr>
            <w:tcW w:w="7300" w:type="dxa"/>
            <w:vAlign w:val="center"/>
          </w:tcPr>
          <w:p w14:paraId="3FEC0EF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招标控制价在3000万元以下的建设工程，推行评定分离方式确定中标人，鼓励优先选用信用优良的建筑业企业。</w:t>
            </w:r>
          </w:p>
        </w:tc>
        <w:tc>
          <w:tcPr>
            <w:tcW w:w="2194" w:type="dxa"/>
            <w:vMerge w:val="continue"/>
            <w:vAlign w:val="center"/>
          </w:tcPr>
          <w:p w14:paraId="0056900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2330" w:type="dxa"/>
            <w:vMerge w:val="continue"/>
            <w:vAlign w:val="center"/>
          </w:tcPr>
          <w:p w14:paraId="46E625F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p>
        </w:tc>
      </w:tr>
      <w:tr w14:paraId="1662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Merge w:val="restart"/>
            <w:vAlign w:val="center"/>
          </w:tcPr>
          <w:p w14:paraId="72DDA2FC">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十一、强化行业</w:t>
            </w:r>
          </w:p>
          <w:p w14:paraId="31A8152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管理</w:t>
            </w:r>
          </w:p>
        </w:tc>
        <w:tc>
          <w:tcPr>
            <w:tcW w:w="607" w:type="dxa"/>
            <w:vAlign w:val="center"/>
          </w:tcPr>
          <w:p w14:paraId="27610E9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32</w:t>
            </w:r>
          </w:p>
        </w:tc>
        <w:tc>
          <w:tcPr>
            <w:tcW w:w="7300" w:type="dxa"/>
            <w:vAlign w:val="center"/>
          </w:tcPr>
          <w:p w14:paraId="528EF4ED">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按照巴中市建筑市场责任主体信用综合评价管理暂行办法执行，构建建设领域社会信用综合评价体系。</w:t>
            </w:r>
          </w:p>
        </w:tc>
        <w:tc>
          <w:tcPr>
            <w:tcW w:w="2194" w:type="dxa"/>
            <w:vAlign w:val="center"/>
          </w:tcPr>
          <w:p w14:paraId="0AF108D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61E604A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各项目主管部门</w:t>
            </w:r>
          </w:p>
        </w:tc>
      </w:tr>
      <w:tr w14:paraId="5112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658" w:type="dxa"/>
            <w:vMerge w:val="continue"/>
            <w:vAlign w:val="center"/>
          </w:tcPr>
          <w:p w14:paraId="644F2AC5">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23871C6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33</w:t>
            </w:r>
          </w:p>
        </w:tc>
        <w:tc>
          <w:tcPr>
            <w:tcW w:w="7300" w:type="dxa"/>
            <w:vAlign w:val="center"/>
          </w:tcPr>
          <w:p w14:paraId="7ABC3CB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大力推动智慧工地、标化工地建设，定期开展企业培训，争取智慧工地覆盖率达100%。</w:t>
            </w:r>
          </w:p>
        </w:tc>
        <w:tc>
          <w:tcPr>
            <w:tcW w:w="2194" w:type="dxa"/>
            <w:vAlign w:val="center"/>
          </w:tcPr>
          <w:p w14:paraId="3290390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265EE605">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各项目主管部门</w:t>
            </w:r>
          </w:p>
        </w:tc>
      </w:tr>
      <w:tr w14:paraId="7F13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1658" w:type="dxa"/>
            <w:vMerge w:val="continue"/>
            <w:vAlign w:val="center"/>
          </w:tcPr>
          <w:p w14:paraId="7DDD9EC7">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671CA27D">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34</w:t>
            </w:r>
          </w:p>
        </w:tc>
        <w:tc>
          <w:tcPr>
            <w:tcW w:w="7300" w:type="dxa"/>
            <w:vAlign w:val="center"/>
          </w:tcPr>
          <w:p w14:paraId="45847F5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严肃查处依法必须招标的项目围标串标、买标卖标等违法违规行为，常态化开展“三包一挂”专项整治，促进建筑市场健康平稳发展。</w:t>
            </w:r>
          </w:p>
        </w:tc>
        <w:tc>
          <w:tcPr>
            <w:tcW w:w="2194" w:type="dxa"/>
            <w:vAlign w:val="center"/>
          </w:tcPr>
          <w:p w14:paraId="767CF52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区发展改革局</w:t>
            </w:r>
          </w:p>
        </w:tc>
        <w:tc>
          <w:tcPr>
            <w:tcW w:w="2330" w:type="dxa"/>
            <w:vAlign w:val="center"/>
          </w:tcPr>
          <w:p w14:paraId="6E6B0BC9">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各行业主管部门</w:t>
            </w:r>
          </w:p>
          <w:p w14:paraId="70EC135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区公安分局</w:t>
            </w:r>
          </w:p>
          <w:p w14:paraId="5C8C32D1">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24DD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1658" w:type="dxa"/>
            <w:vMerge w:val="continue"/>
            <w:vAlign w:val="center"/>
          </w:tcPr>
          <w:p w14:paraId="07A4220E">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23439533">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35</w:t>
            </w:r>
          </w:p>
        </w:tc>
        <w:tc>
          <w:tcPr>
            <w:tcW w:w="7300" w:type="dxa"/>
            <w:vAlign w:val="center"/>
          </w:tcPr>
          <w:p w14:paraId="576ABC7A">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每年表扬表彰一批支持建筑业产值入统工作的房地产开发企业和一批对产值入统、产业发展、促进就业、市场拓展等贡献率前10的建筑企业和个人，并支持参加国、省各项评优评奖。</w:t>
            </w:r>
          </w:p>
        </w:tc>
        <w:tc>
          <w:tcPr>
            <w:tcW w:w="2194" w:type="dxa"/>
            <w:vAlign w:val="center"/>
          </w:tcPr>
          <w:p w14:paraId="415EB13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eastAsia" w:ascii="Times New Roman" w:hAnsi="Times New Roman" w:eastAsia="方正仿宋_GBK" w:cs="Times New Roman"/>
                <w:spacing w:val="0"/>
                <w:w w:val="100"/>
                <w:sz w:val="21"/>
                <w:szCs w:val="21"/>
                <w:lang w:eastAsia="zh-CN"/>
              </w:rPr>
              <w:t>区住房城乡建设局</w:t>
            </w:r>
          </w:p>
        </w:tc>
        <w:tc>
          <w:tcPr>
            <w:tcW w:w="2330" w:type="dxa"/>
            <w:vAlign w:val="center"/>
          </w:tcPr>
          <w:p w14:paraId="5973365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区房管局</w:t>
            </w:r>
          </w:p>
        </w:tc>
      </w:tr>
      <w:tr w14:paraId="5632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jc w:val="center"/>
        </w:trPr>
        <w:tc>
          <w:tcPr>
            <w:tcW w:w="1658" w:type="dxa"/>
            <w:vMerge w:val="restart"/>
            <w:vAlign w:val="center"/>
          </w:tcPr>
          <w:p w14:paraId="610FA7BD">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十二、强化服务</w:t>
            </w:r>
          </w:p>
          <w:p w14:paraId="1DA56A7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保障</w:t>
            </w:r>
          </w:p>
        </w:tc>
        <w:tc>
          <w:tcPr>
            <w:tcW w:w="607" w:type="dxa"/>
            <w:vAlign w:val="center"/>
          </w:tcPr>
          <w:p w14:paraId="7FA5E2A8">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36</w:t>
            </w:r>
          </w:p>
        </w:tc>
        <w:tc>
          <w:tcPr>
            <w:tcW w:w="7300" w:type="dxa"/>
            <w:vAlign w:val="center"/>
          </w:tcPr>
          <w:p w14:paraId="02F9D10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建立巴州区建筑业高质量发展工作协调机制，重点从各行业部门建筑业产值完成、税收增长、金融服务、人才培养、司法保障等方面加强跟踪调度和过程监管。每季度对依法必须招标的建设工程涉及的重要事项（项目数量、项目金额、中标候选人评定分离机制执行、建筑业产值完成等情况）进行通报。</w:t>
            </w:r>
          </w:p>
        </w:tc>
        <w:tc>
          <w:tcPr>
            <w:tcW w:w="2194" w:type="dxa"/>
            <w:vAlign w:val="center"/>
          </w:tcPr>
          <w:p w14:paraId="17CEAFA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val="en-US" w:eastAsia="zh-CN"/>
              </w:rPr>
            </w:pPr>
            <w:r>
              <w:rPr>
                <w:rFonts w:hint="default" w:ascii="Times New Roman" w:hAnsi="Times New Roman" w:eastAsia="方正仿宋_GBK" w:cs="Times New Roman"/>
                <w:spacing w:val="0"/>
                <w:w w:val="100"/>
                <w:sz w:val="21"/>
                <w:szCs w:val="21"/>
              </w:rPr>
              <w:t>区政府</w:t>
            </w:r>
            <w:r>
              <w:rPr>
                <w:rFonts w:hint="eastAsia" w:ascii="Times New Roman" w:hAnsi="Times New Roman" w:eastAsia="方正仿宋_GBK" w:cs="Times New Roman"/>
                <w:spacing w:val="0"/>
                <w:w w:val="100"/>
                <w:sz w:val="21"/>
                <w:szCs w:val="21"/>
                <w:lang w:val="en-US" w:eastAsia="zh-CN"/>
              </w:rPr>
              <w:t>办公室</w:t>
            </w:r>
          </w:p>
        </w:tc>
        <w:tc>
          <w:tcPr>
            <w:tcW w:w="2330" w:type="dxa"/>
            <w:vAlign w:val="center"/>
          </w:tcPr>
          <w:p w14:paraId="32F81B5B">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sz w:val="21"/>
                <w:szCs w:val="21"/>
              </w:rPr>
            </w:pPr>
            <w:r>
              <w:rPr>
                <w:rFonts w:hint="default" w:ascii="Times New Roman" w:hAnsi="Times New Roman" w:eastAsia="方正仿宋_GBK" w:cs="Times New Roman"/>
                <w:spacing w:val="0"/>
                <w:w w:val="100"/>
                <w:sz w:val="21"/>
                <w:szCs w:val="21"/>
              </w:rPr>
              <w:t>区目标绩效</w:t>
            </w:r>
            <w:r>
              <w:rPr>
                <w:rFonts w:hint="eastAsia" w:ascii="Times New Roman" w:hAnsi="Times New Roman" w:eastAsia="方正仿宋_GBK" w:cs="Times New Roman"/>
                <w:spacing w:val="0"/>
                <w:w w:val="100"/>
                <w:sz w:val="21"/>
                <w:szCs w:val="21"/>
                <w:lang w:val="en-US" w:eastAsia="zh-CN"/>
              </w:rPr>
              <w:t>管理</w:t>
            </w:r>
            <w:r>
              <w:rPr>
                <w:rFonts w:hint="default" w:ascii="Times New Roman" w:hAnsi="Times New Roman" w:eastAsia="方正仿宋_GBK" w:cs="Times New Roman"/>
                <w:spacing w:val="0"/>
                <w:w w:val="100"/>
                <w:sz w:val="21"/>
                <w:szCs w:val="21"/>
              </w:rPr>
              <w:t>中心</w:t>
            </w:r>
          </w:p>
          <w:p w14:paraId="542BAEF7">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7188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1658" w:type="dxa"/>
            <w:vMerge w:val="continue"/>
            <w:vAlign w:val="center"/>
          </w:tcPr>
          <w:p w14:paraId="41A6FBC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71EC4A5A">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37</w:t>
            </w:r>
          </w:p>
        </w:tc>
        <w:tc>
          <w:tcPr>
            <w:tcW w:w="7300" w:type="dxa"/>
            <w:vAlign w:val="center"/>
          </w:tcPr>
          <w:p w14:paraId="21D7BA8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建立区级领导“一对一”挂联帮扶重点建筑业企业名单，深入企业开展走访调研，积极解决企业在发展过程中遇到的痛点、堵点。</w:t>
            </w:r>
          </w:p>
        </w:tc>
        <w:tc>
          <w:tcPr>
            <w:tcW w:w="2194" w:type="dxa"/>
            <w:vAlign w:val="center"/>
          </w:tcPr>
          <w:p w14:paraId="3919479E">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val="en-US" w:eastAsia="zh-CN"/>
              </w:rPr>
            </w:pPr>
            <w:r>
              <w:rPr>
                <w:rFonts w:hint="default" w:ascii="Times New Roman" w:hAnsi="Times New Roman" w:eastAsia="方正仿宋_GBK" w:cs="Times New Roman"/>
                <w:spacing w:val="0"/>
                <w:w w:val="100"/>
                <w:sz w:val="21"/>
                <w:szCs w:val="21"/>
              </w:rPr>
              <w:t>区政府</w:t>
            </w:r>
            <w:r>
              <w:rPr>
                <w:rFonts w:hint="eastAsia" w:ascii="Times New Roman" w:hAnsi="Times New Roman" w:eastAsia="方正仿宋_GBK" w:cs="Times New Roman"/>
                <w:spacing w:val="0"/>
                <w:w w:val="100"/>
                <w:sz w:val="21"/>
                <w:szCs w:val="21"/>
                <w:lang w:val="en-US" w:eastAsia="zh-CN"/>
              </w:rPr>
              <w:t>办公室</w:t>
            </w:r>
          </w:p>
        </w:tc>
        <w:tc>
          <w:tcPr>
            <w:tcW w:w="2330" w:type="dxa"/>
            <w:vAlign w:val="center"/>
          </w:tcPr>
          <w:p w14:paraId="2F79F556">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eastAsia" w:ascii="Times New Roman" w:hAnsi="Times New Roman" w:eastAsia="方正仿宋_GBK" w:cs="Times New Roman"/>
                <w:spacing w:val="0"/>
                <w:w w:val="100"/>
                <w:sz w:val="21"/>
                <w:szCs w:val="21"/>
                <w:lang w:eastAsia="zh-CN"/>
              </w:rPr>
              <w:t>区住房城乡建设局</w:t>
            </w:r>
          </w:p>
        </w:tc>
      </w:tr>
      <w:tr w14:paraId="5E33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658" w:type="dxa"/>
            <w:vMerge w:val="continue"/>
            <w:vAlign w:val="center"/>
          </w:tcPr>
          <w:p w14:paraId="67238E36">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p>
        </w:tc>
        <w:tc>
          <w:tcPr>
            <w:tcW w:w="607" w:type="dxa"/>
            <w:vAlign w:val="center"/>
          </w:tcPr>
          <w:p w14:paraId="4EE8ACDB">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38</w:t>
            </w:r>
          </w:p>
        </w:tc>
        <w:tc>
          <w:tcPr>
            <w:tcW w:w="7300" w:type="dxa"/>
            <w:vAlign w:val="center"/>
          </w:tcPr>
          <w:p w14:paraId="262693D0">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baseline"/>
              <w:outlineLvl w:val="9"/>
              <w:rPr>
                <w:rFonts w:hint="default" w:ascii="Times New Roman" w:hAnsi="Times New Roman" w:eastAsia="方正仿宋_GBK" w:cs="Times New Roman"/>
                <w:spacing w:val="0"/>
                <w:w w:val="100"/>
                <w:position w:val="0"/>
                <w:sz w:val="21"/>
                <w:szCs w:val="21"/>
              </w:rPr>
            </w:pPr>
            <w:r>
              <w:rPr>
                <w:rFonts w:hint="default" w:ascii="Times New Roman" w:hAnsi="Times New Roman" w:eastAsia="方正仿宋_GBK" w:cs="Times New Roman"/>
                <w:spacing w:val="0"/>
                <w:w w:val="100"/>
                <w:sz w:val="21"/>
                <w:szCs w:val="21"/>
              </w:rPr>
              <w:t>区人民政府设立每年不低于300万元的建筑业发展专项资金，用于鼓励企业资质升级、创先争优的奖励，科研开发、技术创新、开拓市场和法律援助等工作。</w:t>
            </w:r>
          </w:p>
        </w:tc>
        <w:tc>
          <w:tcPr>
            <w:tcW w:w="2194" w:type="dxa"/>
            <w:vAlign w:val="center"/>
          </w:tcPr>
          <w:p w14:paraId="57804412">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val="en-US" w:eastAsia="zh-CN"/>
              </w:rPr>
            </w:pPr>
            <w:r>
              <w:rPr>
                <w:rFonts w:hint="default" w:ascii="Times New Roman" w:hAnsi="Times New Roman" w:eastAsia="方正仿宋_GBK" w:cs="Times New Roman"/>
                <w:spacing w:val="0"/>
                <w:w w:val="100"/>
                <w:sz w:val="21"/>
                <w:szCs w:val="21"/>
              </w:rPr>
              <w:t>区政府</w:t>
            </w:r>
            <w:r>
              <w:rPr>
                <w:rFonts w:hint="eastAsia" w:ascii="Times New Roman" w:hAnsi="Times New Roman" w:eastAsia="方正仿宋_GBK" w:cs="Times New Roman"/>
                <w:spacing w:val="0"/>
                <w:w w:val="100"/>
                <w:sz w:val="21"/>
                <w:szCs w:val="21"/>
                <w:lang w:val="en-US" w:eastAsia="zh-CN"/>
              </w:rPr>
              <w:t>办公室</w:t>
            </w:r>
          </w:p>
        </w:tc>
        <w:tc>
          <w:tcPr>
            <w:tcW w:w="2330" w:type="dxa"/>
            <w:vAlign w:val="center"/>
          </w:tcPr>
          <w:p w14:paraId="75AE1EA4">
            <w:pPr>
              <w:pStyle w:val="10"/>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baseline"/>
              <w:outlineLvl w:val="9"/>
              <w:rPr>
                <w:rFonts w:hint="eastAsia" w:ascii="Times New Roman" w:hAnsi="Times New Roman" w:eastAsia="方正仿宋_GBK" w:cs="Times New Roman"/>
                <w:spacing w:val="0"/>
                <w:w w:val="100"/>
                <w:position w:val="0"/>
                <w:sz w:val="21"/>
                <w:szCs w:val="21"/>
                <w:lang w:eastAsia="zh-CN"/>
              </w:rPr>
            </w:pPr>
            <w:r>
              <w:rPr>
                <w:rFonts w:hint="default" w:ascii="Times New Roman" w:hAnsi="Times New Roman" w:eastAsia="方正仿宋_GBK" w:cs="Times New Roman"/>
                <w:spacing w:val="0"/>
                <w:w w:val="100"/>
                <w:sz w:val="21"/>
                <w:szCs w:val="21"/>
              </w:rPr>
              <w:t>区财政局</w:t>
            </w:r>
          </w:p>
        </w:tc>
      </w:tr>
    </w:tbl>
    <w:p w14:paraId="2EC217FF">
      <w:pPr>
        <w:rPr>
          <w:rFonts w:ascii="Arial"/>
          <w:sz w:val="21"/>
        </w:rPr>
      </w:pPr>
    </w:p>
    <w:p w14:paraId="1DF92663">
      <w:pPr>
        <w:rPr>
          <w:rFonts w:ascii="Arial" w:hAnsi="Arial" w:eastAsia="Arial" w:cs="Arial"/>
          <w:sz w:val="21"/>
          <w:szCs w:val="21"/>
        </w:rPr>
        <w:sectPr>
          <w:footerReference r:id="rId5" w:type="default"/>
          <w:pgSz w:w="16838" w:h="11905" w:orient="landscape"/>
          <w:pgMar w:top="1587" w:right="1701" w:bottom="1474" w:left="1701" w:header="0" w:footer="1145" w:gutter="0"/>
          <w:pgNumType w:fmt="decimal"/>
          <w:cols w:space="0" w:num="1"/>
          <w:rtlGutter w:val="0"/>
          <w:docGrid w:linePitch="0" w:charSpace="0"/>
        </w:sectPr>
      </w:pPr>
    </w:p>
    <w:p w14:paraId="44BC22CD">
      <w:pPr>
        <w:pStyle w:val="2"/>
      </w:pPr>
    </w:p>
    <w:p w14:paraId="52EADD19">
      <w:pPr>
        <w:pStyle w:val="3"/>
      </w:pPr>
    </w:p>
    <w:p w14:paraId="3C09F68F">
      <w:pPr>
        <w:pStyle w:val="3"/>
      </w:pPr>
    </w:p>
    <w:p w14:paraId="2D5E1D33">
      <w:pPr>
        <w:pStyle w:val="3"/>
      </w:pPr>
    </w:p>
    <w:p w14:paraId="750E8DBD">
      <w:pPr>
        <w:pStyle w:val="3"/>
      </w:pPr>
    </w:p>
    <w:p w14:paraId="52EEF47F">
      <w:pPr>
        <w:pStyle w:val="3"/>
      </w:pPr>
    </w:p>
    <w:p w14:paraId="20D7DDE3">
      <w:pPr>
        <w:pStyle w:val="3"/>
      </w:pPr>
    </w:p>
    <w:p w14:paraId="10D65AB4">
      <w:pPr>
        <w:pStyle w:val="3"/>
      </w:pPr>
    </w:p>
    <w:p w14:paraId="2E07B354">
      <w:pPr>
        <w:pStyle w:val="3"/>
      </w:pPr>
    </w:p>
    <w:p w14:paraId="32F3BAE9">
      <w:pPr>
        <w:pStyle w:val="3"/>
      </w:pPr>
    </w:p>
    <w:p w14:paraId="21ECE4A0">
      <w:pPr>
        <w:pStyle w:val="3"/>
      </w:pPr>
    </w:p>
    <w:p w14:paraId="28F1185A">
      <w:pPr>
        <w:pStyle w:val="3"/>
      </w:pPr>
    </w:p>
    <w:p w14:paraId="1CD6A7F4">
      <w:pPr>
        <w:pStyle w:val="3"/>
      </w:pPr>
    </w:p>
    <w:p w14:paraId="2DF69238">
      <w:pPr>
        <w:pStyle w:val="3"/>
      </w:pPr>
    </w:p>
    <w:p w14:paraId="59DE96CA">
      <w:pPr>
        <w:pStyle w:val="3"/>
      </w:pPr>
    </w:p>
    <w:p w14:paraId="600B2464">
      <w:pPr>
        <w:pStyle w:val="3"/>
      </w:pPr>
    </w:p>
    <w:p w14:paraId="06BC0046">
      <w:pPr>
        <w:pStyle w:val="3"/>
      </w:pPr>
    </w:p>
    <w:p w14:paraId="369CE574">
      <w:pPr>
        <w:pStyle w:val="3"/>
      </w:pPr>
    </w:p>
    <w:p w14:paraId="35B01A2D">
      <w:pPr>
        <w:pStyle w:val="3"/>
      </w:pPr>
    </w:p>
    <w:p w14:paraId="7E883585">
      <w:pPr>
        <w:pStyle w:val="3"/>
      </w:pPr>
    </w:p>
    <w:p w14:paraId="2F3E3390">
      <w:pPr>
        <w:adjustRightInd w:val="0"/>
        <w:snapToGrid w:val="0"/>
        <w:spacing w:line="560" w:lineRule="exact"/>
        <w:ind w:firstLine="0" w:firstLineChars="0"/>
        <w:rPr>
          <w:rFonts w:hint="default" w:ascii="Times New Roman" w:hAnsi="Times New Roman" w:eastAsia="方正黑体_GBK" w:cs="Times New Roman"/>
          <w:b/>
          <w:bCs w:val="0"/>
          <w:color w:val="000000"/>
          <w:sz w:val="32"/>
          <w:szCs w:val="32"/>
        </w:rPr>
      </w:pPr>
    </w:p>
    <w:p w14:paraId="7046C224">
      <w:pPr>
        <w:adjustRightInd w:val="0"/>
        <w:snapToGrid w:val="0"/>
        <w:spacing w:line="560" w:lineRule="exact"/>
        <w:ind w:firstLine="0" w:firstLineChars="0"/>
        <w:rPr>
          <w:rFonts w:hint="default" w:ascii="Times New Roman" w:hAnsi="Times New Roman" w:eastAsia="黑体" w:cs="Times New Roman"/>
          <w:b w:val="0"/>
          <w:bCs/>
          <w:color w:val="000000"/>
          <w:sz w:val="32"/>
          <w:szCs w:val="32"/>
        </w:rPr>
      </w:pPr>
      <w:r>
        <w:rPr>
          <w:rFonts w:hint="default" w:ascii="Times New Roman" w:hAnsi="Times New Roman" w:eastAsia="方正黑体_GBK" w:cs="Times New Roman"/>
          <w:b/>
          <w:bCs w:val="0"/>
          <w:color w:val="000000"/>
          <w:sz w:val="32"/>
          <w:szCs w:val="32"/>
        </w:rPr>
        <w:t>信息公开选项：</w:t>
      </w:r>
      <w:r>
        <w:rPr>
          <w:rFonts w:hint="default" w:ascii="Times New Roman" w:hAnsi="Times New Roman" w:eastAsia="方正黑体_GBK" w:cs="Times New Roman"/>
          <w:b w:val="0"/>
          <w:bCs/>
          <w:color w:val="000000"/>
          <w:sz w:val="32"/>
          <w:szCs w:val="32"/>
          <w:lang w:val="en-US" w:eastAsia="zh-CN"/>
        </w:rPr>
        <w:t>主动</w:t>
      </w:r>
      <w:r>
        <w:rPr>
          <w:rFonts w:hint="default" w:ascii="Times New Roman" w:hAnsi="Times New Roman" w:eastAsia="方正黑体_GBK" w:cs="Times New Roman"/>
          <w:b w:val="0"/>
          <w:bCs/>
          <w:color w:val="000000"/>
          <w:sz w:val="32"/>
          <w:szCs w:val="32"/>
        </w:rPr>
        <w:t>公开</w:t>
      </w:r>
    </w:p>
    <w:p w14:paraId="1D55435D">
      <w:pPr>
        <w:pBdr>
          <w:top w:val="single" w:color="auto" w:sz="4" w:space="1"/>
          <w:bottom w:val="single" w:color="auto" w:sz="4" w:space="0"/>
        </w:pBdr>
        <w:adjustRightInd w:val="0"/>
        <w:snapToGrid w:val="0"/>
        <w:spacing w:line="400" w:lineRule="exact"/>
        <w:ind w:firstLine="258" w:firstLineChars="100"/>
        <w:rPr>
          <w:rFonts w:hint="default" w:ascii="Times New Roman" w:hAnsi="Times New Roman" w:eastAsia="方正仿宋_GBK" w:cs="Times New Roman"/>
          <w:b w:val="0"/>
          <w:bCs/>
          <w:color w:val="000000"/>
          <w:spacing w:val="-16"/>
          <w:sz w:val="28"/>
          <w:szCs w:val="28"/>
        </w:rPr>
      </w:pPr>
      <w:r>
        <w:rPr>
          <w:rFonts w:hint="default" w:ascii="Times New Roman" w:hAnsi="Times New Roman" w:eastAsia="方正仿宋_GBK" w:cs="Times New Roman"/>
          <w:b w:val="0"/>
          <w:bCs/>
          <w:color w:val="000000"/>
          <w:spacing w:val="-11"/>
          <w:sz w:val="28"/>
          <w:szCs w:val="28"/>
        </w:rPr>
        <w:t>抄送：区</w:t>
      </w:r>
      <w:r>
        <w:rPr>
          <w:rFonts w:hint="default" w:ascii="Times New Roman" w:hAnsi="Times New Roman" w:eastAsia="方正仿宋_GBK" w:cs="Times New Roman"/>
          <w:b w:val="0"/>
          <w:bCs/>
          <w:color w:val="000000"/>
          <w:spacing w:val="-16"/>
          <w:sz w:val="28"/>
          <w:szCs w:val="28"/>
        </w:rPr>
        <w:t>委办公室，区人大常委会办公室，区政协办公室，区纪委监委机关，</w:t>
      </w:r>
    </w:p>
    <w:p w14:paraId="36CCC0E6">
      <w:pPr>
        <w:pBdr>
          <w:top w:val="single" w:color="auto" w:sz="4" w:space="1"/>
          <w:bottom w:val="single" w:color="auto" w:sz="4" w:space="0"/>
        </w:pBdr>
        <w:adjustRightInd w:val="0"/>
        <w:snapToGrid w:val="0"/>
        <w:spacing w:line="400" w:lineRule="exact"/>
        <w:ind w:firstLine="280" w:firstLineChars="100"/>
      </w:pPr>
      <w:r>
        <w:rPr>
          <w:rFonts w:hint="eastAsia" w:ascii="Times New Roman" w:hAnsi="Times New Roman" w:eastAsia="方正仿宋_GBK" w:cs="Times New Roman"/>
          <w:b w:val="0"/>
          <w:bCs/>
          <w:color w:val="000000"/>
          <w:spacing w:val="0"/>
          <w:sz w:val="28"/>
          <w:szCs w:val="28"/>
          <w:lang w:val="en-US" w:eastAsia="zh-CN"/>
        </w:rPr>
        <w:t xml:space="preserve">     </w:t>
      </w:r>
      <w:r>
        <w:rPr>
          <w:rFonts w:hint="default" w:ascii="Times New Roman" w:hAnsi="Times New Roman" w:eastAsia="方正仿宋_GBK" w:cs="Times New Roman"/>
          <w:b w:val="0"/>
          <w:bCs/>
          <w:color w:val="000000"/>
          <w:spacing w:val="-11"/>
          <w:sz w:val="28"/>
          <w:szCs w:val="28"/>
        </w:rPr>
        <w:t>区法院，区检察院，区人武部。</w:t>
      </w:r>
    </w:p>
    <w:sectPr>
      <w:footerReference r:id="rId6" w:type="default"/>
      <w:pgSz w:w="11906" w:h="16838"/>
      <w:pgMar w:top="2098" w:right="1474" w:bottom="1984" w:left="1587" w:header="850" w:footer="158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032A">
    <w:pPr>
      <w:spacing w:line="177" w:lineRule="auto"/>
      <w:ind w:left="6087"/>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49A44">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A49A44">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CE97">
    <w:pPr>
      <w:spacing w:before="1" w:line="176" w:lineRule="auto"/>
      <w:ind w:left="6520"/>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65135"/>
    <w:rsid w:val="09444942"/>
    <w:rsid w:val="0C573D1B"/>
    <w:rsid w:val="0D7464C9"/>
    <w:rsid w:val="109F21D7"/>
    <w:rsid w:val="122F350B"/>
    <w:rsid w:val="137E2B4D"/>
    <w:rsid w:val="182B3C56"/>
    <w:rsid w:val="2B085BA8"/>
    <w:rsid w:val="2CB8206C"/>
    <w:rsid w:val="2DE801DF"/>
    <w:rsid w:val="31283B34"/>
    <w:rsid w:val="37F16A56"/>
    <w:rsid w:val="39DE298C"/>
    <w:rsid w:val="3B7D4BC3"/>
    <w:rsid w:val="3BDA0EB4"/>
    <w:rsid w:val="3C5E039D"/>
    <w:rsid w:val="40365135"/>
    <w:rsid w:val="46BA2F74"/>
    <w:rsid w:val="4C6339A5"/>
    <w:rsid w:val="51D30CFC"/>
    <w:rsid w:val="554E68D4"/>
    <w:rsid w:val="55893465"/>
    <w:rsid w:val="57F00FEB"/>
    <w:rsid w:val="5EDF4B8F"/>
    <w:rsid w:val="61B812CA"/>
    <w:rsid w:val="625535F0"/>
    <w:rsid w:val="6476013A"/>
    <w:rsid w:val="65745E00"/>
    <w:rsid w:val="65E74434"/>
    <w:rsid w:val="686200E0"/>
    <w:rsid w:val="6ADB77D2"/>
    <w:rsid w:val="6DD46991"/>
    <w:rsid w:val="6FEF3BB1"/>
    <w:rsid w:val="711820E5"/>
    <w:rsid w:val="73114D5D"/>
    <w:rsid w:val="75333358"/>
    <w:rsid w:val="771A61F8"/>
    <w:rsid w:val="79DC4DBD"/>
    <w:rsid w:val="7B625CF2"/>
    <w:rsid w:val="7F6B4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31"/>
      <w:szCs w:val="31"/>
      <w:lang w:val="en-US" w:eastAsia="en-US" w:bidi="ar-SA"/>
    </w:rPr>
  </w:style>
  <w:style w:type="paragraph" w:styleId="3">
    <w:name w:val="Body Text First Indent"/>
    <w:basedOn w:val="2"/>
    <w:qFormat/>
    <w:uiPriority w:val="0"/>
    <w:pPr>
      <w:ind w:firstLine="420" w:firstLineChars="100"/>
    </w:p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Title"/>
    <w:basedOn w:val="1"/>
    <w:next w:val="1"/>
    <w:qFormat/>
    <w:uiPriority w:val="99"/>
    <w:pPr>
      <w:spacing w:before="240" w:after="240" w:line="360" w:lineRule="auto"/>
      <w:jc w:val="center"/>
      <w:outlineLvl w:val="0"/>
    </w:pPr>
    <w:rPr>
      <w:rFonts w:ascii="Arial" w:hAnsi="Arial"/>
      <w:b/>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8174</Words>
  <Characters>8322</Characters>
  <Lines>0</Lines>
  <Paragraphs>0</Paragraphs>
  <TotalTime>16</TotalTime>
  <ScaleCrop>false</ScaleCrop>
  <LinksUpToDate>false</LinksUpToDate>
  <CharactersWithSpaces>8376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2024-12-24T06:33:00Z</dcterms:created>
  <dc:creator>巴山夜雨</dc:creator>
  <cp:lastModifiedBy>人生若只如初见</cp:lastModifiedBy>
  <cp:lastPrinted>2024-12-30T07:15:00Z</cp:lastPrinted>
  <dcterms:modified xsi:type="dcterms:W3CDTF">2025-01-08T02:59:45Z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91DE9034A2F34588AE93F01E709BACA9_13</vt:lpwstr>
  </property>
  <property fmtid="{D5CDD505-2E9C-101B-9397-08002B2CF9AE}" pid="4" name="KSOTemplateDocerSaveRecord">
    <vt:lpwstr>eyJoZGlkIjoiMWViN2FhOGFiYjY4OThmMjI3YmJhZjc2N2E0OWI3NGIiLCJ1c2VySWQiOiI3NDE4MjgxODkifQ==</vt:lpwstr>
  </property>
</Properties>
</file>