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8380E">
      <w:pPr>
        <w:spacing w:line="600" w:lineRule="exact"/>
        <w:jc w:val="left"/>
        <w:outlineLvl w:val="0"/>
        <w:rPr>
          <w:rFonts w:ascii="方正小标宋简体" w:hAnsi="宋体" w:eastAsia="方正小标宋简体"/>
          <w:szCs w:val="21"/>
        </w:rPr>
      </w:pPr>
      <w:bookmarkStart w:id="0" w:name="_Toc15306267"/>
    </w:p>
    <w:p w14:paraId="62275A5A">
      <w:pPr>
        <w:pStyle w:val="5"/>
        <w:spacing w:before="93"/>
      </w:pPr>
    </w:p>
    <w:p w14:paraId="4095DC6C">
      <w:pPr>
        <w:spacing w:line="600" w:lineRule="exact"/>
        <w:jc w:val="center"/>
        <w:outlineLvl w:val="0"/>
        <w:rPr>
          <w:rFonts w:ascii="方正小标宋简体" w:hAnsi="宋体" w:eastAsia="方正小标宋简体"/>
          <w:sz w:val="72"/>
          <w:szCs w:val="72"/>
        </w:rPr>
      </w:pPr>
    </w:p>
    <w:p w14:paraId="59B4968F">
      <w:pPr>
        <w:spacing w:line="600" w:lineRule="exact"/>
        <w:jc w:val="center"/>
        <w:outlineLvl w:val="0"/>
        <w:rPr>
          <w:rFonts w:ascii="方正小标宋简体" w:hAnsi="宋体" w:eastAsia="方正小标宋简体"/>
          <w:sz w:val="72"/>
          <w:szCs w:val="72"/>
        </w:rPr>
      </w:pPr>
    </w:p>
    <w:p w14:paraId="6AB97B75">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96475"/>
      <w:bookmarkStart w:id="3" w:name="_Toc15396597"/>
      <w:bookmarkStart w:id="4" w:name="_Toc15377193"/>
      <w:bookmarkStart w:id="5"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14:paraId="2F6DE102">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96476"/>
      <w:bookmarkStart w:id="8" w:name="_Toc15378442"/>
      <w:bookmarkStart w:id="9" w:name="_Toc15377426"/>
      <w:bookmarkStart w:id="10" w:name="_Toc15396598"/>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lang w:val="en-US" w:eastAsia="zh-CN"/>
        </w:rPr>
        <w:t>巴中市巴州区司法局部门</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14:paraId="473796FC">
      <w:pPr>
        <w:adjustRightInd w:val="0"/>
        <w:snapToGrid w:val="0"/>
        <w:spacing w:line="360" w:lineRule="auto"/>
        <w:jc w:val="center"/>
        <w:outlineLvl w:val="0"/>
        <w:rPr>
          <w:rFonts w:ascii="方正小标宋简体" w:hAnsi="宋体" w:eastAsia="方正小标宋简体"/>
          <w:sz w:val="52"/>
          <w:szCs w:val="52"/>
        </w:rPr>
      </w:pPr>
    </w:p>
    <w:p w14:paraId="165A95E3">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3795251D">
      <w:pPr>
        <w:widowControl/>
        <w:jc w:val="center"/>
        <w:rPr>
          <w:rFonts w:ascii="黑体" w:hAnsi="黑体" w:eastAsia="黑体" w:cstheme="minorBidi"/>
          <w:sz w:val="28"/>
          <w:szCs w:val="28"/>
        </w:rPr>
      </w:pPr>
    </w:p>
    <w:p w14:paraId="53C029E3">
      <w:pPr>
        <w:pStyle w:val="11"/>
      </w:pPr>
      <w:r>
        <w:rPr>
          <w:rFonts w:hint="eastAsia"/>
        </w:rPr>
        <w:t>公开时间：202</w:t>
      </w:r>
      <w:r>
        <w:rPr>
          <w:rFonts w:hint="eastAsia"/>
          <w:lang w:val="en-US" w:eastAsia="zh-CN"/>
        </w:rPr>
        <w:t>4</w:t>
      </w:r>
      <w:r>
        <w:rPr>
          <w:rFonts w:hint="eastAsia"/>
        </w:rPr>
        <w:t>年</w:t>
      </w:r>
      <w:r>
        <w:rPr>
          <w:rFonts w:hint="eastAsia"/>
          <w:lang w:val="en-US" w:eastAsia="zh-CN"/>
        </w:rPr>
        <w:t>11</w:t>
      </w:r>
      <w:r>
        <w:rPr>
          <w:rFonts w:hint="eastAsia"/>
        </w:rPr>
        <w:t>月</w:t>
      </w:r>
      <w:r>
        <w:rPr>
          <w:rFonts w:hint="eastAsia"/>
          <w:lang w:val="en-US" w:eastAsia="zh-CN"/>
        </w:rPr>
        <w:t>5</w:t>
      </w:r>
      <w:r>
        <w:rPr>
          <w:rFonts w:hint="eastAsia"/>
        </w:rPr>
        <w:t>日</w:t>
      </w:r>
    </w:p>
    <w:p w14:paraId="727D17B0"/>
    <w:p w14:paraId="147A87C5">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14:paraId="2B07DE17">
      <w:pPr>
        <w:pStyle w:val="12"/>
        <w:adjustRightInd w:val="0"/>
        <w:snapToGrid w:val="0"/>
        <w:spacing w:line="440" w:lineRule="exact"/>
        <w:jc w:val="left"/>
        <w:rPr>
          <w:sz w:val="24"/>
        </w:rPr>
      </w:pPr>
      <w:r>
        <w:rPr>
          <w:rFonts w:hint="eastAsia"/>
          <w:sz w:val="24"/>
        </w:rPr>
        <w:t>一、主要职责</w:t>
      </w:r>
    </w:p>
    <w:p w14:paraId="00C58BF2">
      <w:pPr>
        <w:pStyle w:val="12"/>
        <w:adjustRightInd w:val="0"/>
        <w:snapToGrid w:val="0"/>
        <w:spacing w:line="440" w:lineRule="exact"/>
        <w:jc w:val="left"/>
      </w:pPr>
      <w:r>
        <w:rPr>
          <w:rFonts w:hint="eastAsia"/>
          <w:sz w:val="24"/>
        </w:rPr>
        <w:t>二、机构设置</w:t>
      </w:r>
    </w:p>
    <w:p w14:paraId="1F00176E">
      <w:pPr>
        <w:pStyle w:val="11"/>
        <w:adjustRightInd w:val="0"/>
        <w:snapToGrid w:val="0"/>
        <w:spacing w:before="0" w:line="440" w:lineRule="exact"/>
        <w:jc w:val="left"/>
        <w:rPr>
          <w:sz w:val="24"/>
          <w:szCs w:val="24"/>
        </w:rPr>
      </w:pPr>
      <w:r>
        <w:rPr>
          <w:rFonts w:hint="eastAsia"/>
          <w:sz w:val="24"/>
        </w:rPr>
        <w:t>第二部分 2023年度单位决算情况说明</w:t>
      </w:r>
    </w:p>
    <w:p w14:paraId="4BC8C620">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14:paraId="51501DE5">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14:paraId="55829FC4">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14:paraId="46776787">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14:paraId="473B6B56">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14:paraId="7FF37A87">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14:paraId="5F5006F0">
      <w:pPr>
        <w:pStyle w:val="12"/>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14:paraId="01C7CD94">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14:paraId="32B19B71">
      <w:pPr>
        <w:pStyle w:val="12"/>
        <w:adjustRightInd w:val="0"/>
        <w:snapToGrid w:val="0"/>
        <w:spacing w:line="440" w:lineRule="exact"/>
        <w:jc w:val="left"/>
        <w:rPr>
          <w:sz w:val="24"/>
        </w:rPr>
      </w:pPr>
      <w:r>
        <w:rPr>
          <w:rFonts w:hint="eastAsia"/>
          <w:sz w:val="24"/>
        </w:rPr>
        <w:t>九、国有资本经营预算支出决算情况说明</w:t>
      </w:r>
    </w:p>
    <w:p w14:paraId="5D072C98">
      <w:pPr>
        <w:pStyle w:val="12"/>
        <w:adjustRightInd w:val="0"/>
        <w:snapToGrid w:val="0"/>
        <w:spacing w:line="440" w:lineRule="exact"/>
        <w:jc w:val="left"/>
        <w:rPr>
          <w:sz w:val="24"/>
        </w:rPr>
      </w:pPr>
      <w:r>
        <w:rPr>
          <w:rFonts w:hint="eastAsia"/>
          <w:sz w:val="24"/>
        </w:rPr>
        <w:t>十、其他重要事项的情况说明</w:t>
      </w:r>
    </w:p>
    <w:p w14:paraId="790E42B8">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14:paraId="2C8A53CE">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14:paraId="26DF3A6C">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14:paraId="64FAF8C8">
      <w:pPr>
        <w:pStyle w:val="12"/>
        <w:adjustRightInd w:val="0"/>
        <w:snapToGrid w:val="0"/>
        <w:spacing w:line="440" w:lineRule="exact"/>
        <w:jc w:val="left"/>
        <w:rPr>
          <w:sz w:val="24"/>
        </w:rPr>
      </w:pPr>
      <w:r>
        <w:rPr>
          <w:rFonts w:hint="eastAsia"/>
          <w:sz w:val="24"/>
        </w:rPr>
        <w:t>一、收入支出决算总表</w:t>
      </w:r>
    </w:p>
    <w:p w14:paraId="5AC059B7">
      <w:pPr>
        <w:pStyle w:val="12"/>
        <w:adjustRightInd w:val="0"/>
        <w:snapToGrid w:val="0"/>
        <w:spacing w:line="440" w:lineRule="exact"/>
        <w:jc w:val="left"/>
        <w:rPr>
          <w:sz w:val="24"/>
        </w:rPr>
      </w:pPr>
      <w:r>
        <w:rPr>
          <w:rFonts w:hint="eastAsia"/>
          <w:sz w:val="24"/>
        </w:rPr>
        <w:t>二、收入决算表</w:t>
      </w:r>
    </w:p>
    <w:p w14:paraId="7E18150A">
      <w:pPr>
        <w:pStyle w:val="12"/>
        <w:adjustRightInd w:val="0"/>
        <w:snapToGrid w:val="0"/>
        <w:spacing w:line="440" w:lineRule="exact"/>
        <w:jc w:val="left"/>
        <w:rPr>
          <w:sz w:val="24"/>
        </w:rPr>
      </w:pPr>
      <w:r>
        <w:rPr>
          <w:rFonts w:hint="eastAsia"/>
          <w:sz w:val="24"/>
        </w:rPr>
        <w:t>三、支出决算表</w:t>
      </w:r>
    </w:p>
    <w:p w14:paraId="453976A2">
      <w:pPr>
        <w:pStyle w:val="12"/>
        <w:adjustRightInd w:val="0"/>
        <w:snapToGrid w:val="0"/>
        <w:spacing w:line="440" w:lineRule="exact"/>
        <w:jc w:val="left"/>
        <w:rPr>
          <w:sz w:val="24"/>
        </w:rPr>
      </w:pPr>
      <w:r>
        <w:rPr>
          <w:rFonts w:hint="eastAsia"/>
          <w:sz w:val="24"/>
        </w:rPr>
        <w:t>四、财政拨款收入支出决算总表</w:t>
      </w:r>
    </w:p>
    <w:p w14:paraId="0FFE397A">
      <w:pPr>
        <w:pStyle w:val="12"/>
        <w:adjustRightInd w:val="0"/>
        <w:snapToGrid w:val="0"/>
        <w:spacing w:line="440" w:lineRule="exact"/>
        <w:jc w:val="left"/>
        <w:rPr>
          <w:sz w:val="24"/>
        </w:rPr>
      </w:pPr>
      <w:r>
        <w:rPr>
          <w:rFonts w:hint="eastAsia"/>
          <w:sz w:val="24"/>
        </w:rPr>
        <w:t>五、财政拨款支出决算明细表</w:t>
      </w:r>
    </w:p>
    <w:p w14:paraId="0F088682">
      <w:pPr>
        <w:pStyle w:val="12"/>
        <w:adjustRightInd w:val="0"/>
        <w:snapToGrid w:val="0"/>
        <w:spacing w:line="440" w:lineRule="exact"/>
        <w:jc w:val="left"/>
        <w:rPr>
          <w:sz w:val="24"/>
        </w:rPr>
      </w:pPr>
      <w:r>
        <w:rPr>
          <w:rFonts w:hint="eastAsia"/>
          <w:sz w:val="24"/>
        </w:rPr>
        <w:t>六、一般公共预算财政拨款支出决算表</w:t>
      </w:r>
    </w:p>
    <w:p w14:paraId="09FD2956">
      <w:pPr>
        <w:pStyle w:val="12"/>
        <w:adjustRightInd w:val="0"/>
        <w:snapToGrid w:val="0"/>
        <w:spacing w:line="440" w:lineRule="exact"/>
        <w:jc w:val="left"/>
        <w:rPr>
          <w:sz w:val="24"/>
        </w:rPr>
      </w:pPr>
      <w:r>
        <w:rPr>
          <w:rFonts w:hint="eastAsia"/>
          <w:sz w:val="24"/>
        </w:rPr>
        <w:t>七、一般公共预算财政拨款支出决算明细表</w:t>
      </w:r>
    </w:p>
    <w:p w14:paraId="6A3DCCDE">
      <w:pPr>
        <w:pStyle w:val="12"/>
        <w:adjustRightInd w:val="0"/>
        <w:snapToGrid w:val="0"/>
        <w:spacing w:line="440" w:lineRule="exact"/>
        <w:jc w:val="left"/>
        <w:rPr>
          <w:sz w:val="24"/>
        </w:rPr>
      </w:pPr>
      <w:r>
        <w:rPr>
          <w:rFonts w:hint="eastAsia"/>
          <w:sz w:val="24"/>
        </w:rPr>
        <w:t>八、一般公共预算财政拨款基本支出决算明细表</w:t>
      </w:r>
    </w:p>
    <w:p w14:paraId="3205B01D">
      <w:pPr>
        <w:pStyle w:val="12"/>
        <w:adjustRightInd w:val="0"/>
        <w:snapToGrid w:val="0"/>
        <w:spacing w:line="440" w:lineRule="exact"/>
        <w:jc w:val="left"/>
        <w:rPr>
          <w:sz w:val="24"/>
        </w:rPr>
      </w:pPr>
      <w:r>
        <w:rPr>
          <w:rFonts w:hint="eastAsia"/>
          <w:sz w:val="24"/>
        </w:rPr>
        <w:t>九、一般公共预算财政拨款项目支出决算表</w:t>
      </w:r>
    </w:p>
    <w:p w14:paraId="7EE41FD5">
      <w:pPr>
        <w:pStyle w:val="12"/>
        <w:adjustRightInd w:val="0"/>
        <w:snapToGrid w:val="0"/>
        <w:spacing w:line="440" w:lineRule="exact"/>
        <w:jc w:val="left"/>
        <w:rPr>
          <w:sz w:val="24"/>
        </w:rPr>
      </w:pPr>
      <w:r>
        <w:rPr>
          <w:rFonts w:hint="eastAsia"/>
          <w:sz w:val="24"/>
        </w:rPr>
        <w:t>十、政府性基金预算财政拨款收入支出决算表</w:t>
      </w:r>
    </w:p>
    <w:p w14:paraId="0F93260F">
      <w:pPr>
        <w:pStyle w:val="12"/>
        <w:adjustRightInd w:val="0"/>
        <w:snapToGrid w:val="0"/>
        <w:spacing w:line="440" w:lineRule="exact"/>
        <w:jc w:val="left"/>
        <w:rPr>
          <w:sz w:val="24"/>
        </w:rPr>
      </w:pPr>
      <w:r>
        <w:rPr>
          <w:rFonts w:hint="eastAsia"/>
          <w:sz w:val="24"/>
        </w:rPr>
        <w:t>十一、国有资本经营预算财政拨款收入支出决算表</w:t>
      </w:r>
    </w:p>
    <w:p w14:paraId="49ECD54F">
      <w:pPr>
        <w:pStyle w:val="12"/>
        <w:adjustRightInd w:val="0"/>
        <w:snapToGrid w:val="0"/>
        <w:spacing w:line="440" w:lineRule="exact"/>
        <w:jc w:val="left"/>
        <w:rPr>
          <w:sz w:val="24"/>
        </w:rPr>
      </w:pPr>
      <w:r>
        <w:rPr>
          <w:rFonts w:hint="eastAsia"/>
          <w:sz w:val="24"/>
        </w:rPr>
        <w:t>十二、国有资本经营预算财政拨款支出决算表</w:t>
      </w:r>
    </w:p>
    <w:p w14:paraId="7CA27E57">
      <w:pPr>
        <w:pStyle w:val="12"/>
        <w:adjustRightInd w:val="0"/>
        <w:snapToGrid w:val="0"/>
        <w:spacing w:line="440" w:lineRule="exact"/>
        <w:jc w:val="left"/>
        <w:rPr>
          <w:sz w:val="24"/>
        </w:rPr>
      </w:pPr>
      <w:r>
        <w:rPr>
          <w:rFonts w:hint="eastAsia"/>
          <w:sz w:val="24"/>
        </w:rPr>
        <w:t>十三、财政拨款“三公”经费支出决算表</w:t>
      </w:r>
    </w:p>
    <w:p w14:paraId="6F0A2AB0">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14:paraId="1D4924F5">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4A1F5181">
      <w:pPr>
        <w:pStyle w:val="2"/>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5B25306E">
      <w:pPr>
        <w:widowControl/>
        <w:jc w:val="left"/>
        <w:rPr>
          <w:rFonts w:ascii="黑体" w:eastAsia="黑体"/>
          <w:sz w:val="32"/>
          <w:szCs w:val="32"/>
        </w:rPr>
      </w:pPr>
    </w:p>
    <w:p w14:paraId="78BEDBCE">
      <w:pPr>
        <w:pStyle w:val="3"/>
        <w:numPr>
          <w:ilvl w:val="0"/>
          <w:numId w:val="1"/>
        </w:numPr>
        <w:rPr>
          <w:rStyle w:val="28"/>
          <w:rFonts w:ascii="黑体" w:hAnsi="黑体" w:eastAsia="黑体"/>
          <w:b w:val="0"/>
          <w:bCs w:val="0"/>
        </w:rPr>
      </w:pPr>
      <w:bookmarkStart w:id="14" w:name="_Toc15396600"/>
      <w:bookmarkStart w:id="15" w:name="_Toc15377197"/>
      <w:r>
        <w:rPr>
          <w:rStyle w:val="28"/>
          <w:rFonts w:hint="eastAsia" w:ascii="黑体" w:hAnsi="黑体" w:eastAsia="黑体"/>
          <w:b w:val="0"/>
          <w:bCs w:val="0"/>
        </w:rPr>
        <w:t>主要职责</w:t>
      </w:r>
    </w:p>
    <w:p w14:paraId="760054E9">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1.承担全面依法治国、依法治省、依法治市、依法治区重大问题的政策研究，协调有关方面提出全面依法治区规划建议，负责有关重大决策部署督察工作。</w:t>
      </w:r>
    </w:p>
    <w:p w14:paraId="1B5B53DD">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2.负责协调各部门实施法律、法规、规章中的有关争议和问题。</w:t>
      </w:r>
    </w:p>
    <w:p w14:paraId="0863F43C">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3.负责区政府规范性文件、重大行政决策发布前的合法性审查。承办区政府规范性文件的报送备案工作。负责各乡镇人民政府、街道办事处、区政府各部门规范性文件报送区政府的备案审查工作。组织开展规范性文件清理。</w:t>
      </w:r>
    </w:p>
    <w:p w14:paraId="40106127">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4.承担统筹推进法治政府建设的责任。指导监督各乡镇人民政府、街道办事处、区级各部门依法行政工作。负责综合协调、监督检查行政执法，承担推进行政执法体制改革有关工作，推进严格规范公正文明执法。指导监督全区行政复议、行政应诉和行政赔偿工作，承办向区政府申请的行政复议、行政赔偿案件，受区政府委托办理行政复议和行政应诉案件。</w:t>
      </w:r>
    </w:p>
    <w:p w14:paraId="56961F8E">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5.承担统筹规划法治社会建设的责任。负责拟订法治宣传教育规划，组织实施普法宣传工作，组织对外法治宣传。推动人民参与和促进法治建设。指导依法治理和法治创建工作。负责指导和管理司法所工作。指导调解工作。协助人民监督员选任工作，负责人民陪审员选任工作。将安全生产、职业健康法律法规纳入公民普法教育重要内容并会同有关部门开展宣传普及工作。</w:t>
      </w:r>
    </w:p>
    <w:p w14:paraId="69DACF46">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6.负责并指导管理社区矫正和刑满释放人员安置帮教工作。</w:t>
      </w:r>
    </w:p>
    <w:p w14:paraId="4AF6E110">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7.负责拟订全区公共法律服务体系建设规划并指导实施，推进平台建设，统筹和布局全区城乡、区域法律服务资源。监督管理并指导法律援助、公证、司法鉴定、律师、仲裁、基层法律服务工作。</w:t>
      </w:r>
    </w:p>
    <w:p w14:paraId="0A5E4F57">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8.规划、协调、指导全区法治人才队伍建设相关工作，指导监督本系统干部队伍建设。负责本系统警务管理和警务督察工作。</w:t>
      </w:r>
    </w:p>
    <w:p w14:paraId="25E84FA4">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9.负责本系统警车、警械、服装等装备监督管理工作。指导监督本系统财务、装备、设施、场所等保障工作。负责本机关和直属单位内部审计工作。</w:t>
      </w:r>
    </w:p>
    <w:p w14:paraId="6FCDEEBA">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10.负责本系统行政审批工作。负责全区外来企业投诉处理和民营企业法律服务工作。</w:t>
      </w:r>
    </w:p>
    <w:p w14:paraId="49E11CE3">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11.负责职责范围内的安全生产、职业健康、生态环境保护、审批服务便民化等工作。</w:t>
      </w:r>
    </w:p>
    <w:p w14:paraId="6583635C">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12.完成区委、区政府交办的其他任务。</w:t>
      </w:r>
    </w:p>
    <w:p w14:paraId="73B178FE">
      <w:pPr>
        <w:pStyle w:val="3"/>
        <w:rPr>
          <w:rFonts w:hint="eastAsia" w:ascii="黑体" w:hAnsi="黑体" w:eastAsia="黑体"/>
          <w:b w:val="0"/>
        </w:rPr>
      </w:pPr>
      <w:r>
        <w:rPr>
          <w:rFonts w:hint="eastAsia" w:ascii="黑体" w:hAnsi="黑体" w:eastAsia="黑体"/>
          <w:b w:val="0"/>
        </w:rPr>
        <w:t>二、机构设置</w:t>
      </w:r>
    </w:p>
    <w:p w14:paraId="0971A444">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巴中市巴州区司法局下属二级预算单位4个，其中行政单位1个，参照公务员法管理的事业单位1个，其他事业单位2个。</w:t>
      </w:r>
    </w:p>
    <w:p w14:paraId="21FBB3FF">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纳入巴中市巴州区司法局2022年度部门决算编制范围的二级预算单位包括：</w:t>
      </w:r>
    </w:p>
    <w:p w14:paraId="17D631B0">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1.巴中市巴州区司法局</w:t>
      </w:r>
    </w:p>
    <w:p w14:paraId="4A7F37ED">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2.巴中市江南公证处</w:t>
      </w:r>
    </w:p>
    <w:p w14:paraId="4E63F50F">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3.巴州区法律援助中心</w:t>
      </w:r>
    </w:p>
    <w:p w14:paraId="3ECB8069">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4.巴州区医患纠纷调解中心</w:t>
      </w:r>
    </w:p>
    <w:bookmarkEnd w:id="14"/>
    <w:bookmarkEnd w:id="15"/>
    <w:p w14:paraId="665CF7E2">
      <w:pPr>
        <w:widowControl/>
        <w:jc w:val="left"/>
        <w:rPr>
          <w:rFonts w:ascii="仿宋" w:hAnsi="仿宋" w:eastAsia="仿宋"/>
          <w:kern w:val="0"/>
          <w:sz w:val="32"/>
          <w:szCs w:val="32"/>
        </w:rPr>
      </w:pPr>
      <w:r>
        <w:rPr>
          <w:rFonts w:ascii="仿宋" w:hAnsi="仿宋" w:eastAsia="仿宋"/>
          <w:sz w:val="32"/>
          <w:szCs w:val="32"/>
        </w:rPr>
        <w:br w:type="page"/>
      </w:r>
    </w:p>
    <w:p w14:paraId="65F48EE6">
      <w:pPr>
        <w:pStyle w:val="2"/>
        <w:ind w:right="440"/>
        <w:jc w:val="center"/>
        <w:rPr>
          <w:rStyle w:val="27"/>
          <w:rFonts w:ascii="黑体" w:hAnsi="黑体" w:eastAsia="黑体"/>
          <w:b w:val="0"/>
          <w:bCs/>
        </w:rPr>
      </w:pPr>
      <w:bookmarkStart w:id="16" w:name="_Toc15377204"/>
      <w:bookmarkStart w:id="17"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70E05006"/>
    <w:p w14:paraId="35C537C1">
      <w:pPr>
        <w:pStyle w:val="26"/>
        <w:numPr>
          <w:ilvl w:val="0"/>
          <w:numId w:val="2"/>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66FB0DD1">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1876.5</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348.7</w:t>
      </w:r>
      <w:r>
        <w:rPr>
          <w:rFonts w:hint="eastAsia" w:ascii="仿宋" w:hAnsi="仿宋" w:eastAsia="仿宋"/>
          <w:sz w:val="32"/>
          <w:szCs w:val="32"/>
        </w:rPr>
        <w:t>万元，增长</w:t>
      </w:r>
      <w:r>
        <w:rPr>
          <w:rFonts w:hint="eastAsia" w:ascii="仿宋" w:hAnsi="仿宋" w:eastAsia="仿宋"/>
          <w:sz w:val="32"/>
          <w:szCs w:val="32"/>
          <w:lang w:val="en-US" w:eastAsia="zh-CN"/>
        </w:rPr>
        <w:t>22.8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年内新增人员，人员经费增多；司法业务量大，项目经费增多</w:t>
      </w:r>
      <w:r>
        <w:rPr>
          <w:rFonts w:hint="eastAsia" w:ascii="仿宋" w:hAnsi="仿宋" w:eastAsia="仿宋"/>
          <w:sz w:val="32"/>
          <w:szCs w:val="32"/>
        </w:rPr>
        <w:t>。</w:t>
      </w:r>
    </w:p>
    <w:p w14:paraId="618ADB2D">
      <w:pPr>
        <w:spacing w:line="240" w:lineRule="auto"/>
        <w:ind w:firstLine="0" w:firstLineChars="0"/>
        <w:rPr>
          <w:rFonts w:hint="eastAsia" w:ascii="仿宋" w:hAnsi="仿宋" w:eastAsia="仿宋"/>
          <w:sz w:val="32"/>
          <w:szCs w:val="32"/>
        </w:rPr>
      </w:pPr>
      <w:r>
        <w:rPr>
          <w:rFonts w:hint="eastAsia" w:ascii="仿宋" w:hAnsi="仿宋" w:eastAsia="仿宋"/>
          <w:color w:val="auto"/>
          <w:sz w:val="32"/>
          <w:szCs w:val="32"/>
          <w:highlight w:val="none"/>
          <w:lang w:eastAsia="zh-CN"/>
        </w:rPr>
        <w:drawing>
          <wp:inline distT="0" distB="0" distL="114300" distR="114300">
            <wp:extent cx="5256530" cy="2988310"/>
            <wp:effectExtent l="5080" t="4445" r="15240"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E19613D">
      <w:pPr>
        <w:spacing w:line="600" w:lineRule="exact"/>
        <w:ind w:firstLine="1280" w:firstLineChars="4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2C058E73">
      <w:pPr>
        <w:spacing w:line="600" w:lineRule="exact"/>
        <w:ind w:firstLine="640" w:firstLineChars="200"/>
        <w:jc w:val="left"/>
        <w:rPr>
          <w:rFonts w:ascii="仿宋_GB2312" w:eastAsia="仿宋_GB2312"/>
          <w:sz w:val="32"/>
          <w:szCs w:val="32"/>
        </w:rPr>
      </w:pPr>
    </w:p>
    <w:p w14:paraId="2BB5F0B5">
      <w:pPr>
        <w:pStyle w:val="26"/>
        <w:numPr>
          <w:ilvl w:val="0"/>
          <w:numId w:val="2"/>
        </w:numPr>
        <w:spacing w:line="600" w:lineRule="exact"/>
        <w:ind w:firstLine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01EF609B">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1876.5</w:t>
      </w:r>
      <w:r>
        <w:rPr>
          <w:rFonts w:hint="eastAsia" w:ascii="仿宋" w:hAnsi="仿宋" w:eastAsia="仿宋"/>
          <w:sz w:val="32"/>
          <w:szCs w:val="32"/>
        </w:rPr>
        <w:t>万元，其中：一般公共预算财政拨款收入</w:t>
      </w:r>
      <w:r>
        <w:rPr>
          <w:rFonts w:ascii="仿宋" w:hAnsi="仿宋" w:eastAsia="仿宋"/>
          <w:b/>
          <w:sz w:val="32"/>
          <w:szCs w:val="32"/>
        </w:rPr>
        <w:t>1876.5</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14:paraId="329B4A87">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14:paraId="191F3CB5">
      <w:pPr>
        <w:spacing w:line="240" w:lineRule="auto"/>
        <w:ind w:firstLine="0" w:firstLineChars="0"/>
        <w:outlineLvl w:val="1"/>
        <w:rPr>
          <w:rFonts w:ascii="仿宋" w:hAnsi="仿宋" w:eastAsia="仿宋"/>
          <w:sz w:val="32"/>
          <w:szCs w:val="32"/>
        </w:rPr>
      </w:pPr>
      <w:r>
        <w:rPr>
          <w:rFonts w:hint="eastAsia" w:ascii="仿宋" w:hAnsi="仿宋" w:eastAsia="仿宋"/>
          <w:color w:val="auto"/>
          <w:sz w:val="32"/>
          <w:szCs w:val="32"/>
          <w:highlight w:val="none"/>
          <w:lang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DBF57C4">
      <w:pPr>
        <w:spacing w:line="600" w:lineRule="exact"/>
        <w:ind w:firstLine="2240" w:firstLineChars="700"/>
        <w:rPr>
          <w:rFonts w:ascii="仿宋" w:hAnsi="仿宋" w:eastAsia="仿宋"/>
          <w:sz w:val="32"/>
          <w:szCs w:val="32"/>
        </w:rPr>
      </w:pPr>
      <w:r>
        <w:rPr>
          <w:rFonts w:hint="eastAsia" w:ascii="仿宋" w:hAnsi="仿宋" w:eastAsia="仿宋"/>
          <w:sz w:val="32"/>
          <w:szCs w:val="32"/>
        </w:rPr>
        <w:t>（图2：收入决算结构图）</w:t>
      </w:r>
    </w:p>
    <w:p w14:paraId="0DE417F9">
      <w:pPr>
        <w:spacing w:line="600" w:lineRule="exact"/>
        <w:ind w:firstLine="640" w:firstLineChars="200"/>
        <w:rPr>
          <w:rFonts w:ascii="仿宋_GB2312" w:eastAsia="仿宋_GB2312"/>
          <w:sz w:val="32"/>
          <w:szCs w:val="32"/>
        </w:rPr>
      </w:pPr>
    </w:p>
    <w:p w14:paraId="70C43020">
      <w:pPr>
        <w:pStyle w:val="26"/>
        <w:numPr>
          <w:ilvl w:val="0"/>
          <w:numId w:val="2"/>
        </w:numPr>
        <w:spacing w:line="600" w:lineRule="exact"/>
        <w:ind w:firstLineChars="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27B7DB93">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1876.5</w:t>
      </w:r>
      <w:r>
        <w:rPr>
          <w:rFonts w:hint="eastAsia" w:ascii="仿宋" w:hAnsi="仿宋" w:eastAsia="仿宋"/>
          <w:sz w:val="32"/>
          <w:szCs w:val="32"/>
        </w:rPr>
        <w:t>万元，其中：基本支出</w:t>
      </w:r>
      <w:r>
        <w:rPr>
          <w:rFonts w:ascii="仿宋" w:hAnsi="仿宋" w:eastAsia="仿宋"/>
          <w:b/>
          <w:sz w:val="32"/>
          <w:szCs w:val="32"/>
        </w:rPr>
        <w:t>1534.32</w:t>
      </w:r>
      <w:r>
        <w:rPr>
          <w:rFonts w:hint="eastAsia" w:ascii="仿宋" w:hAnsi="仿宋" w:eastAsia="仿宋"/>
          <w:sz w:val="32"/>
          <w:szCs w:val="32"/>
        </w:rPr>
        <w:t>万元，占</w:t>
      </w:r>
      <w:r>
        <w:rPr>
          <w:rFonts w:ascii="仿宋" w:hAnsi="仿宋" w:eastAsia="仿宋"/>
          <w:b/>
          <w:sz w:val="32"/>
          <w:szCs w:val="32"/>
        </w:rPr>
        <w:t>81.76</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342.18</w:t>
      </w:r>
      <w:r>
        <w:rPr>
          <w:rFonts w:hint="eastAsia" w:ascii="仿宋" w:hAnsi="仿宋" w:eastAsia="仿宋"/>
          <w:sz w:val="32"/>
          <w:szCs w:val="32"/>
        </w:rPr>
        <w:t>万元，占</w:t>
      </w:r>
      <w:r>
        <w:rPr>
          <w:rFonts w:ascii="仿宋" w:hAnsi="仿宋" w:eastAsia="仿宋"/>
          <w:b/>
          <w:sz w:val="32"/>
          <w:szCs w:val="32"/>
        </w:rPr>
        <w:t>18.23</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72BD2690">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14:paraId="2FBDCD34">
      <w:pPr>
        <w:spacing w:line="600" w:lineRule="exact"/>
        <w:ind w:firstLine="640"/>
        <w:rPr>
          <w:rFonts w:ascii="仿宋" w:hAnsi="仿宋" w:eastAsia="仿宋"/>
          <w:sz w:val="32"/>
          <w:szCs w:val="32"/>
          <w:shd w:val="pct10" w:color="auto" w:fill="FFFFFF"/>
        </w:rPr>
      </w:pPr>
    </w:p>
    <w:p w14:paraId="04C39A2A">
      <w:pPr>
        <w:spacing w:line="240" w:lineRule="auto"/>
        <w:ind w:firstLine="0" w:firstLineChars="0"/>
        <w:rPr>
          <w:rFonts w:hint="eastAsia" w:ascii="仿宋" w:hAnsi="仿宋" w:eastAsia="仿宋"/>
          <w:sz w:val="32"/>
          <w:szCs w:val="32"/>
        </w:rPr>
      </w:pPr>
      <w:r>
        <w:rPr>
          <w:rFonts w:hint="eastAsia" w:ascii="仿宋" w:hAnsi="仿宋" w:eastAsia="仿宋"/>
          <w:color w:val="auto"/>
          <w:sz w:val="32"/>
          <w:szCs w:val="32"/>
          <w:highlight w:val="none"/>
          <w:shd w:val="pct10" w:color="auto" w:fill="FFFFFF"/>
          <w:lang w:eastAsia="zh-CN"/>
        </w:rPr>
        <w:drawing>
          <wp:inline distT="0" distB="0" distL="114300" distR="114300">
            <wp:extent cx="5256530" cy="2988310"/>
            <wp:effectExtent l="5080" t="4445" r="1524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5F87E5">
      <w:pPr>
        <w:spacing w:line="600" w:lineRule="exact"/>
        <w:ind w:firstLine="2240" w:firstLineChars="700"/>
        <w:rPr>
          <w:rFonts w:ascii="仿宋" w:hAnsi="仿宋" w:eastAsia="仿宋"/>
          <w:sz w:val="32"/>
          <w:szCs w:val="32"/>
        </w:rPr>
      </w:pPr>
      <w:r>
        <w:rPr>
          <w:rFonts w:hint="eastAsia" w:ascii="仿宋" w:hAnsi="仿宋" w:eastAsia="仿宋"/>
          <w:sz w:val="32"/>
          <w:szCs w:val="32"/>
        </w:rPr>
        <w:t>（图3：支出决算结构图）</w:t>
      </w:r>
    </w:p>
    <w:p w14:paraId="26791836">
      <w:pPr>
        <w:spacing w:line="600" w:lineRule="exact"/>
        <w:ind w:firstLine="640" w:firstLineChars="200"/>
        <w:rPr>
          <w:rFonts w:ascii="仿宋_GB2312" w:eastAsia="仿宋_GB2312"/>
          <w:sz w:val="32"/>
          <w:szCs w:val="32"/>
        </w:rPr>
      </w:pPr>
    </w:p>
    <w:p w14:paraId="2D2C8448">
      <w:pPr>
        <w:spacing w:line="600" w:lineRule="exact"/>
        <w:ind w:firstLine="640" w:firstLineChars="200"/>
        <w:outlineLvl w:val="1"/>
        <w:rPr>
          <w:rStyle w:val="28"/>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5A404359">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rPr>
        <w:t>2023年度财政拨款收、支总计均为</w:t>
      </w:r>
      <w:r>
        <w:rPr>
          <w:rFonts w:ascii="仿宋" w:hAnsi="仿宋" w:eastAsia="仿宋"/>
          <w:b/>
          <w:sz w:val="32"/>
          <w:szCs w:val="32"/>
        </w:rPr>
        <w:t>1876.5</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348.7</w:t>
      </w:r>
      <w:r>
        <w:rPr>
          <w:rFonts w:hint="eastAsia" w:ascii="仿宋" w:hAnsi="仿宋" w:eastAsia="仿宋"/>
          <w:sz w:val="32"/>
          <w:szCs w:val="32"/>
        </w:rPr>
        <w:t>万元，增长</w:t>
      </w:r>
      <w:r>
        <w:rPr>
          <w:rFonts w:hint="eastAsia" w:ascii="仿宋" w:hAnsi="仿宋" w:eastAsia="仿宋"/>
          <w:sz w:val="32"/>
          <w:szCs w:val="32"/>
          <w:lang w:val="en-US" w:eastAsia="zh-CN"/>
        </w:rPr>
        <w:t>22.8</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val="en-US" w:eastAsia="zh-CN"/>
        </w:rPr>
        <w:t>是年内新增人员，人员经费增多；司法业务量大，项目经费增多。</w:t>
      </w:r>
    </w:p>
    <w:p w14:paraId="3FF475E1">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09A7CEC5">
      <w:pPr>
        <w:spacing w:line="240" w:lineRule="auto"/>
        <w:rPr>
          <w:rFonts w:ascii="仿宋" w:hAnsi="仿宋" w:eastAsia="仿宋"/>
          <w:sz w:val="32"/>
          <w:szCs w:val="32"/>
        </w:rPr>
      </w:pPr>
      <w:r>
        <w:rPr>
          <w:rFonts w:hint="eastAsia" w:ascii="仿宋" w:hAnsi="仿宋" w:eastAsia="仿宋"/>
          <w:color w:val="auto"/>
          <w:sz w:val="32"/>
          <w:szCs w:val="32"/>
          <w:highlight w:val="none"/>
          <w:lang w:eastAsia="zh-CN"/>
        </w:rPr>
        <w:drawing>
          <wp:inline distT="0" distB="0" distL="114300" distR="114300">
            <wp:extent cx="5256530" cy="2988310"/>
            <wp:effectExtent l="5080" t="4445" r="1524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45E7A29">
      <w:pPr>
        <w:spacing w:line="600" w:lineRule="exact"/>
        <w:ind w:firstLine="960" w:firstLineChars="300"/>
        <w:rPr>
          <w:rFonts w:hint="eastAsia" w:ascii="仿宋" w:hAnsi="仿宋" w:eastAsia="仿宋"/>
          <w:sz w:val="32"/>
          <w:szCs w:val="32"/>
          <w:lang w:val="en-US" w:eastAsia="zh-CN"/>
        </w:rPr>
      </w:pPr>
      <w:r>
        <w:rPr>
          <w:rFonts w:hint="eastAsia" w:ascii="仿宋" w:hAnsi="仿宋" w:eastAsia="仿宋"/>
          <w:sz w:val="32"/>
          <w:szCs w:val="32"/>
        </w:rPr>
        <w:t>（图4：财政拨款收、支决算总计变动情况</w:t>
      </w:r>
      <w:r>
        <w:rPr>
          <w:rFonts w:hint="eastAsia" w:ascii="仿宋" w:hAnsi="仿宋" w:eastAsia="仿宋"/>
          <w:sz w:val="32"/>
          <w:szCs w:val="32"/>
          <w:lang w:val="en-US" w:eastAsia="zh-CN"/>
        </w:rPr>
        <w:t>)</w:t>
      </w:r>
    </w:p>
    <w:p w14:paraId="4D36C682">
      <w:pPr>
        <w:spacing w:line="600" w:lineRule="exact"/>
        <w:ind w:firstLine="640"/>
        <w:rPr>
          <w:rFonts w:ascii="仿宋" w:hAnsi="仿宋" w:eastAsia="仿宋"/>
          <w:b/>
          <w:sz w:val="32"/>
          <w:szCs w:val="32"/>
        </w:rPr>
      </w:pPr>
    </w:p>
    <w:p w14:paraId="15F330D5">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29475375">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5B7AE1CC">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rFonts w:ascii="仿宋" w:hAnsi="仿宋" w:eastAsia="仿宋"/>
          <w:b/>
          <w:sz w:val="32"/>
          <w:szCs w:val="32"/>
        </w:rPr>
        <w:t>1876.5</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348.7</w:t>
      </w:r>
      <w:r>
        <w:rPr>
          <w:rFonts w:hint="eastAsia" w:ascii="仿宋" w:hAnsi="仿宋" w:eastAsia="仿宋"/>
          <w:sz w:val="32"/>
          <w:szCs w:val="32"/>
        </w:rPr>
        <w:t>万元，增长</w:t>
      </w:r>
      <w:r>
        <w:rPr>
          <w:rFonts w:hint="eastAsia" w:ascii="仿宋" w:hAnsi="仿宋" w:eastAsia="仿宋"/>
          <w:sz w:val="32"/>
          <w:szCs w:val="32"/>
          <w:lang w:val="en-US" w:eastAsia="zh-CN"/>
        </w:rPr>
        <w:t>22.8</w:t>
      </w:r>
      <w:r>
        <w:rPr>
          <w:rFonts w:ascii="仿宋" w:hAnsi="仿宋" w:eastAsia="仿宋"/>
          <w:sz w:val="32"/>
          <w:szCs w:val="32"/>
        </w:rPr>
        <w:t>%</w:t>
      </w:r>
      <w:r>
        <w:rPr>
          <w:rFonts w:hint="eastAsia" w:ascii="仿宋" w:hAnsi="仿宋" w:eastAsia="仿宋"/>
          <w:sz w:val="32"/>
          <w:szCs w:val="32"/>
        </w:rPr>
        <w:t>。主要变动原因是年内新增人员，人员经费增多；司法业务量大，项目经费增多</w:t>
      </w:r>
      <w:r>
        <w:rPr>
          <w:rFonts w:hint="eastAsia" w:ascii="仿宋" w:hAnsi="仿宋" w:eastAsia="仿宋"/>
          <w:sz w:val="32"/>
          <w:szCs w:val="32"/>
          <w:lang w:eastAsia="zh-CN"/>
        </w:rPr>
        <w:t>。</w:t>
      </w:r>
    </w:p>
    <w:p w14:paraId="6AD21CDB">
      <w:pPr>
        <w:spacing w:line="240" w:lineRule="auto"/>
        <w:ind w:firstLine="0" w:firstLineChars="0"/>
        <w:rPr>
          <w:rFonts w:ascii="仿宋" w:hAnsi="仿宋" w:eastAsia="仿宋"/>
          <w:sz w:val="32"/>
          <w:szCs w:val="32"/>
        </w:rPr>
      </w:pPr>
      <w:r>
        <w:rPr>
          <w:rFonts w:hint="eastAsia" w:ascii="仿宋" w:hAnsi="仿宋" w:eastAsia="仿宋"/>
          <w:color w:val="auto"/>
          <w:sz w:val="32"/>
          <w:szCs w:val="32"/>
          <w:highlight w:val="none"/>
          <w:lang w:eastAsia="zh-CN"/>
        </w:rPr>
        <w:drawing>
          <wp:inline distT="0" distB="0" distL="114300" distR="114300">
            <wp:extent cx="5256530" cy="2988310"/>
            <wp:effectExtent l="5080" t="4445" r="15240" b="1714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2701EF">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14:paraId="6C5D6B11">
      <w:pPr>
        <w:spacing w:line="600" w:lineRule="exact"/>
        <w:ind w:firstLine="640" w:firstLineChars="200"/>
        <w:rPr>
          <w:rFonts w:ascii="仿宋" w:hAnsi="仿宋" w:eastAsia="仿宋"/>
          <w:sz w:val="32"/>
          <w:szCs w:val="32"/>
        </w:rPr>
      </w:pPr>
    </w:p>
    <w:p w14:paraId="2F8381EE">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78169BF9">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1876.5</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bCs/>
          <w:sz w:val="32"/>
          <w:szCs w:val="32"/>
        </w:rPr>
        <w:t>公共安全（类）支出</w:t>
      </w:r>
      <w:r>
        <w:rPr>
          <w:rFonts w:hint="eastAsia" w:ascii="仿宋" w:hAnsi="仿宋" w:eastAsia="仿宋"/>
          <w:sz w:val="32"/>
          <w:szCs w:val="32"/>
        </w:rPr>
        <w:t>1</w:t>
      </w:r>
      <w:r>
        <w:rPr>
          <w:rFonts w:hint="eastAsia" w:ascii="仿宋" w:hAnsi="仿宋" w:eastAsia="仿宋"/>
          <w:sz w:val="32"/>
          <w:szCs w:val="32"/>
          <w:lang w:val="en-US" w:eastAsia="zh-CN"/>
        </w:rPr>
        <w:t>596.09</w:t>
      </w:r>
      <w:r>
        <w:rPr>
          <w:rFonts w:hint="eastAsia" w:ascii="仿宋" w:hAnsi="仿宋" w:eastAsia="仿宋"/>
          <w:sz w:val="32"/>
          <w:szCs w:val="32"/>
        </w:rPr>
        <w:t>万元，占8</w:t>
      </w:r>
      <w:r>
        <w:rPr>
          <w:rFonts w:hint="eastAsia" w:ascii="仿宋" w:hAnsi="仿宋" w:eastAsia="仿宋"/>
          <w:sz w:val="32"/>
          <w:szCs w:val="32"/>
          <w:lang w:val="en-US" w:eastAsia="zh-CN"/>
        </w:rPr>
        <w:t>5.1</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118.9</w:t>
      </w:r>
      <w:r>
        <w:rPr>
          <w:rFonts w:hint="eastAsia" w:ascii="仿宋" w:hAnsi="仿宋" w:eastAsia="仿宋"/>
          <w:sz w:val="32"/>
          <w:szCs w:val="32"/>
        </w:rPr>
        <w:t>万元，占</w:t>
      </w:r>
      <w:r>
        <w:rPr>
          <w:rFonts w:hint="eastAsia" w:ascii="仿宋" w:hAnsi="仿宋" w:eastAsia="仿宋"/>
          <w:sz w:val="32"/>
          <w:szCs w:val="32"/>
          <w:lang w:val="en-US" w:eastAsia="zh-CN"/>
        </w:rPr>
        <w:t>6.3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67.09</w:t>
      </w:r>
      <w:r>
        <w:rPr>
          <w:rFonts w:hint="eastAsia" w:ascii="仿宋" w:hAnsi="仿宋" w:eastAsia="仿宋"/>
          <w:sz w:val="32"/>
          <w:szCs w:val="32"/>
        </w:rPr>
        <w:t>万元，占</w:t>
      </w:r>
      <w:r>
        <w:rPr>
          <w:rFonts w:hint="eastAsia" w:ascii="仿宋" w:hAnsi="仿宋" w:eastAsia="仿宋"/>
          <w:sz w:val="32"/>
          <w:szCs w:val="32"/>
          <w:lang w:val="en-US" w:eastAsia="zh-CN"/>
        </w:rPr>
        <w:t>3.6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94.32</w:t>
      </w:r>
      <w:r>
        <w:rPr>
          <w:rFonts w:hint="eastAsia" w:ascii="仿宋" w:hAnsi="仿宋" w:eastAsia="仿宋"/>
          <w:sz w:val="32"/>
          <w:szCs w:val="32"/>
        </w:rPr>
        <w:t>万元，占</w:t>
      </w:r>
      <w:r>
        <w:rPr>
          <w:rFonts w:hint="eastAsia" w:ascii="仿宋" w:hAnsi="仿宋" w:eastAsia="仿宋"/>
          <w:sz w:val="32"/>
          <w:szCs w:val="32"/>
          <w:lang w:val="en-US" w:eastAsia="zh-CN"/>
        </w:rPr>
        <w:t>5</w:t>
      </w:r>
      <w:r>
        <w:rPr>
          <w:rFonts w:ascii="仿宋" w:hAnsi="仿宋" w:eastAsia="仿宋"/>
          <w:sz w:val="32"/>
          <w:szCs w:val="32"/>
        </w:rPr>
        <w:t>%</w:t>
      </w:r>
      <w:r>
        <w:rPr>
          <w:rFonts w:hint="eastAsia" w:ascii="仿宋" w:hAnsi="仿宋" w:eastAsia="仿宋"/>
          <w:sz w:val="32"/>
          <w:szCs w:val="32"/>
        </w:rPr>
        <w:t>。</w:t>
      </w:r>
    </w:p>
    <w:p w14:paraId="13F699F8">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（注：数据来源于财决01-1表，仅罗列本单位涉及的全部功能分类科目，至类级。）</w:t>
      </w:r>
    </w:p>
    <w:p w14:paraId="2A940F7E">
      <w:pPr>
        <w:spacing w:line="240" w:lineRule="auto"/>
        <w:ind w:firstLine="0"/>
        <w:rPr>
          <w:rFonts w:ascii="仿宋" w:hAnsi="仿宋" w:eastAsia="仿宋"/>
          <w:sz w:val="32"/>
          <w:szCs w:val="32"/>
        </w:rPr>
      </w:pPr>
      <w:r>
        <w:rPr>
          <w:rFonts w:hint="eastAsia" w:ascii="仿宋" w:hAnsi="仿宋" w:eastAsia="仿宋"/>
          <w:color w:val="auto"/>
          <w:sz w:val="32"/>
          <w:szCs w:val="32"/>
          <w:highlight w:val="none"/>
          <w:lang w:eastAsia="zh-CN"/>
        </w:rPr>
        <w:drawing>
          <wp:inline distT="0" distB="0" distL="114300" distR="114300">
            <wp:extent cx="5256530" cy="2988310"/>
            <wp:effectExtent l="5080" t="4445" r="1524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9DE33A">
      <w:pPr>
        <w:spacing w:line="600" w:lineRule="exact"/>
        <w:ind w:firstLine="960" w:firstLineChars="300"/>
        <w:rPr>
          <w:rFonts w:ascii="仿宋" w:hAnsi="仿宋" w:eastAsia="仿宋"/>
          <w:sz w:val="32"/>
          <w:szCs w:val="32"/>
        </w:rPr>
      </w:pPr>
      <w:r>
        <w:rPr>
          <w:rFonts w:hint="eastAsia" w:ascii="仿宋" w:hAnsi="仿宋" w:eastAsia="仿宋"/>
          <w:sz w:val="32"/>
          <w:szCs w:val="32"/>
        </w:rPr>
        <w:t>（图6：一般公共预算财政拨款支出决算结构）</w:t>
      </w:r>
    </w:p>
    <w:p w14:paraId="6C4439D6">
      <w:pPr>
        <w:spacing w:line="600" w:lineRule="exact"/>
        <w:ind w:firstLine="640" w:firstLineChars="200"/>
        <w:rPr>
          <w:rFonts w:ascii="仿宋" w:hAnsi="仿宋" w:eastAsia="仿宋"/>
          <w:sz w:val="32"/>
          <w:szCs w:val="32"/>
        </w:rPr>
      </w:pPr>
    </w:p>
    <w:p w14:paraId="2EC94DE5">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25B8C5A9">
      <w:pPr>
        <w:spacing w:line="600" w:lineRule="exact"/>
        <w:ind w:firstLine="643" w:firstLineChars="200"/>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b/>
          <w:sz w:val="32"/>
          <w:szCs w:val="32"/>
        </w:rPr>
        <w:t>2023年度一般公共预算支出决算数为</w:t>
      </w:r>
      <w:r>
        <w:rPr>
          <w:rFonts w:ascii="仿宋" w:hAnsi="仿宋" w:eastAsia="仿宋"/>
          <w:b/>
          <w:sz w:val="32"/>
          <w:szCs w:val="32"/>
        </w:rPr>
        <w:t>1876.5</w:t>
      </w:r>
      <w:r>
        <w:rPr>
          <w:rFonts w:hint="eastAsia" w:ascii="仿宋" w:hAnsi="仿宋" w:eastAsia="仿宋"/>
          <w:b/>
          <w:sz w:val="32"/>
          <w:szCs w:val="32"/>
          <w:lang w:val="en-US" w:eastAsia="zh-CN"/>
        </w:rPr>
        <w:t>万元</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14:paraId="676A446F">
      <w:pPr>
        <w:spacing w:line="600" w:lineRule="exact"/>
        <w:ind w:firstLine="643" w:firstLineChars="200"/>
        <w:rPr>
          <w:rStyle w:val="16"/>
          <w:rFonts w:hint="eastAsia" w:ascii="仿宋" w:hAnsi="仿宋" w:eastAsia="仿宋"/>
          <w:b w:val="0"/>
          <w:bCs w:val="0"/>
          <w:color w:val="auto"/>
          <w:sz w:val="32"/>
          <w:szCs w:val="32"/>
          <w:highlight w:val="none"/>
        </w:rPr>
      </w:pPr>
      <w:r>
        <w:rPr>
          <w:rStyle w:val="16"/>
          <w:rFonts w:hint="eastAsia" w:ascii="仿宋" w:hAnsi="仿宋" w:eastAsia="仿宋"/>
          <w:bCs/>
          <w:color w:val="auto"/>
          <w:sz w:val="32"/>
          <w:szCs w:val="32"/>
          <w:highlight w:val="none"/>
        </w:rPr>
        <w:t>1.公共安全支出（类）司法（款）行政运行（项）:</w:t>
      </w:r>
      <w:r>
        <w:rPr>
          <w:rStyle w:val="16"/>
          <w:rFonts w:hint="eastAsia" w:ascii="仿宋" w:hAnsi="仿宋" w:eastAsia="仿宋"/>
          <w:b w:val="0"/>
          <w:bCs w:val="0"/>
          <w:color w:val="auto"/>
          <w:sz w:val="32"/>
          <w:szCs w:val="32"/>
          <w:highlight w:val="none"/>
        </w:rPr>
        <w:t xml:space="preserve"> 支出决算为</w:t>
      </w:r>
      <w:r>
        <w:rPr>
          <w:rStyle w:val="16"/>
          <w:rFonts w:hint="eastAsia" w:ascii="仿宋" w:hAnsi="仿宋" w:eastAsia="仿宋"/>
          <w:b w:val="0"/>
          <w:bCs w:val="0"/>
          <w:color w:val="auto"/>
          <w:sz w:val="32"/>
          <w:szCs w:val="32"/>
          <w:highlight w:val="none"/>
          <w:lang w:val="en-US" w:eastAsia="zh-CN"/>
        </w:rPr>
        <w:t>1253.92</w:t>
      </w:r>
      <w:r>
        <w:rPr>
          <w:rStyle w:val="16"/>
          <w:rFonts w:hint="eastAsia" w:ascii="仿宋" w:hAnsi="仿宋" w:eastAsia="仿宋"/>
          <w:b w:val="0"/>
          <w:bCs w:val="0"/>
          <w:color w:val="auto"/>
          <w:sz w:val="32"/>
          <w:szCs w:val="32"/>
          <w:highlight w:val="none"/>
        </w:rPr>
        <w:t>万元，完成预算10</w:t>
      </w:r>
      <w:r>
        <w:rPr>
          <w:rStyle w:val="16"/>
          <w:rFonts w:hint="eastAsia" w:ascii="仿宋" w:hAnsi="仿宋" w:eastAsia="仿宋"/>
          <w:b w:val="0"/>
          <w:bCs w:val="0"/>
          <w:color w:val="auto"/>
          <w:sz w:val="32"/>
          <w:szCs w:val="32"/>
          <w:highlight w:val="none"/>
          <w:lang w:val="en-US" w:eastAsia="zh-CN"/>
        </w:rPr>
        <w:t>0</w:t>
      </w:r>
      <w:r>
        <w:rPr>
          <w:rStyle w:val="16"/>
          <w:rFonts w:hint="eastAsia" w:ascii="仿宋" w:hAnsi="仿宋" w:eastAsia="仿宋"/>
          <w:b w:val="0"/>
          <w:bCs w:val="0"/>
          <w:color w:val="auto"/>
          <w:sz w:val="32"/>
          <w:szCs w:val="32"/>
          <w:highlight w:val="none"/>
        </w:rPr>
        <w:t>%。</w:t>
      </w:r>
    </w:p>
    <w:p w14:paraId="3D2FD132">
      <w:pPr>
        <w:spacing w:line="600" w:lineRule="exact"/>
        <w:ind w:firstLine="643" w:firstLineChars="200"/>
        <w:rPr>
          <w:rStyle w:val="16"/>
          <w:rFonts w:hint="eastAsia" w:ascii="仿宋" w:hAnsi="仿宋" w:eastAsia="仿宋"/>
          <w:bCs/>
          <w:color w:val="auto"/>
          <w:sz w:val="32"/>
          <w:szCs w:val="32"/>
          <w:highlight w:val="none"/>
        </w:rPr>
      </w:pPr>
      <w:r>
        <w:rPr>
          <w:rStyle w:val="16"/>
          <w:rFonts w:hint="eastAsia" w:ascii="仿宋" w:hAnsi="仿宋" w:eastAsia="仿宋"/>
          <w:bCs/>
          <w:color w:val="auto"/>
          <w:sz w:val="32"/>
          <w:szCs w:val="32"/>
          <w:highlight w:val="none"/>
        </w:rPr>
        <w:t xml:space="preserve">2. 公共安全支出（类）司法（款）一般行政管理事务（项）: </w:t>
      </w:r>
      <w:r>
        <w:rPr>
          <w:rStyle w:val="16"/>
          <w:rFonts w:hint="eastAsia" w:ascii="仿宋" w:hAnsi="仿宋" w:eastAsia="仿宋"/>
          <w:b w:val="0"/>
          <w:bCs w:val="0"/>
          <w:color w:val="auto"/>
          <w:sz w:val="32"/>
          <w:szCs w:val="32"/>
          <w:highlight w:val="none"/>
        </w:rPr>
        <w:t>支出决算为</w:t>
      </w:r>
      <w:r>
        <w:rPr>
          <w:rStyle w:val="16"/>
          <w:rFonts w:hint="eastAsia" w:ascii="仿宋" w:hAnsi="仿宋" w:eastAsia="仿宋"/>
          <w:b w:val="0"/>
          <w:bCs w:val="0"/>
          <w:color w:val="auto"/>
          <w:sz w:val="32"/>
          <w:szCs w:val="32"/>
          <w:highlight w:val="none"/>
          <w:lang w:val="en-US" w:eastAsia="zh-CN"/>
        </w:rPr>
        <w:t>167.32</w:t>
      </w:r>
      <w:r>
        <w:rPr>
          <w:rStyle w:val="16"/>
          <w:rFonts w:hint="eastAsia" w:ascii="仿宋" w:hAnsi="仿宋" w:eastAsia="仿宋"/>
          <w:b w:val="0"/>
          <w:bCs w:val="0"/>
          <w:color w:val="auto"/>
          <w:sz w:val="32"/>
          <w:szCs w:val="32"/>
          <w:highlight w:val="none"/>
        </w:rPr>
        <w:t>万元，完成预算</w:t>
      </w:r>
      <w:r>
        <w:rPr>
          <w:rStyle w:val="16"/>
          <w:rFonts w:hint="eastAsia" w:ascii="仿宋" w:hAnsi="仿宋" w:eastAsia="仿宋"/>
          <w:b w:val="0"/>
          <w:bCs w:val="0"/>
          <w:color w:val="auto"/>
          <w:sz w:val="32"/>
          <w:szCs w:val="32"/>
          <w:highlight w:val="none"/>
          <w:lang w:val="en-US" w:eastAsia="zh-CN"/>
        </w:rPr>
        <w:t>100</w:t>
      </w:r>
      <w:r>
        <w:rPr>
          <w:rStyle w:val="16"/>
          <w:rFonts w:hint="eastAsia" w:ascii="仿宋" w:hAnsi="仿宋" w:eastAsia="仿宋"/>
          <w:b w:val="0"/>
          <w:bCs w:val="0"/>
          <w:color w:val="auto"/>
          <w:sz w:val="32"/>
          <w:szCs w:val="32"/>
          <w:highlight w:val="none"/>
        </w:rPr>
        <w:t>%。</w:t>
      </w:r>
    </w:p>
    <w:p w14:paraId="5983C64D">
      <w:pPr>
        <w:spacing w:line="600" w:lineRule="exact"/>
        <w:ind w:firstLine="643" w:firstLineChars="200"/>
        <w:rPr>
          <w:rStyle w:val="16"/>
          <w:rFonts w:hint="eastAsia" w:ascii="仿宋" w:hAnsi="仿宋" w:eastAsia="仿宋"/>
          <w:b w:val="0"/>
          <w:bCs w:val="0"/>
          <w:color w:val="auto"/>
          <w:sz w:val="32"/>
          <w:szCs w:val="32"/>
          <w:highlight w:val="none"/>
        </w:rPr>
      </w:pPr>
      <w:r>
        <w:rPr>
          <w:rStyle w:val="16"/>
          <w:rFonts w:hint="eastAsia" w:ascii="仿宋" w:hAnsi="仿宋" w:eastAsia="仿宋"/>
          <w:bCs/>
          <w:color w:val="auto"/>
          <w:sz w:val="32"/>
          <w:szCs w:val="32"/>
          <w:highlight w:val="none"/>
        </w:rPr>
        <w:t xml:space="preserve">3. 公共安全支出（类）司法（款）基层司法业务（项）: </w:t>
      </w:r>
      <w:r>
        <w:rPr>
          <w:rStyle w:val="16"/>
          <w:rFonts w:hint="eastAsia" w:ascii="仿宋" w:hAnsi="仿宋" w:eastAsia="仿宋"/>
          <w:b w:val="0"/>
          <w:bCs w:val="0"/>
          <w:color w:val="auto"/>
          <w:sz w:val="32"/>
          <w:szCs w:val="32"/>
          <w:highlight w:val="none"/>
        </w:rPr>
        <w:t>支出决算为</w:t>
      </w:r>
      <w:r>
        <w:rPr>
          <w:rStyle w:val="16"/>
          <w:rFonts w:hint="eastAsia" w:ascii="仿宋" w:hAnsi="仿宋" w:eastAsia="仿宋"/>
          <w:b w:val="0"/>
          <w:bCs w:val="0"/>
          <w:color w:val="auto"/>
          <w:sz w:val="32"/>
          <w:szCs w:val="32"/>
          <w:highlight w:val="none"/>
          <w:lang w:val="en-US" w:eastAsia="zh-CN"/>
        </w:rPr>
        <w:t>6</w:t>
      </w:r>
      <w:r>
        <w:rPr>
          <w:rStyle w:val="16"/>
          <w:rFonts w:hint="eastAsia" w:ascii="仿宋" w:hAnsi="仿宋" w:eastAsia="仿宋"/>
          <w:b w:val="0"/>
          <w:bCs w:val="0"/>
          <w:color w:val="auto"/>
          <w:sz w:val="32"/>
          <w:szCs w:val="32"/>
          <w:highlight w:val="none"/>
        </w:rPr>
        <w:t>万元，完成预算</w:t>
      </w:r>
      <w:r>
        <w:rPr>
          <w:rStyle w:val="16"/>
          <w:rFonts w:hint="eastAsia" w:ascii="仿宋" w:hAnsi="仿宋" w:eastAsia="仿宋"/>
          <w:b w:val="0"/>
          <w:bCs w:val="0"/>
          <w:color w:val="auto"/>
          <w:sz w:val="32"/>
          <w:szCs w:val="32"/>
          <w:highlight w:val="none"/>
          <w:lang w:val="en-US" w:eastAsia="zh-CN"/>
        </w:rPr>
        <w:t>100</w:t>
      </w:r>
      <w:r>
        <w:rPr>
          <w:rStyle w:val="16"/>
          <w:rFonts w:hint="eastAsia" w:ascii="仿宋" w:hAnsi="仿宋" w:eastAsia="仿宋"/>
          <w:b w:val="0"/>
          <w:bCs w:val="0"/>
          <w:color w:val="auto"/>
          <w:sz w:val="32"/>
          <w:szCs w:val="32"/>
          <w:highlight w:val="none"/>
        </w:rPr>
        <w:t>%。</w:t>
      </w:r>
    </w:p>
    <w:p w14:paraId="47524701">
      <w:pPr>
        <w:spacing w:line="600" w:lineRule="exact"/>
        <w:ind w:firstLine="643" w:firstLineChars="200"/>
        <w:rPr>
          <w:rStyle w:val="16"/>
          <w:rFonts w:hint="eastAsia" w:ascii="仿宋" w:hAnsi="仿宋" w:eastAsia="仿宋"/>
          <w:b w:val="0"/>
          <w:bCs w:val="0"/>
          <w:color w:val="auto"/>
          <w:sz w:val="32"/>
          <w:szCs w:val="32"/>
          <w:highlight w:val="none"/>
        </w:rPr>
      </w:pPr>
      <w:r>
        <w:rPr>
          <w:rStyle w:val="16"/>
          <w:rFonts w:hint="eastAsia" w:ascii="仿宋" w:hAnsi="仿宋" w:eastAsia="仿宋"/>
          <w:bCs/>
          <w:color w:val="auto"/>
          <w:sz w:val="32"/>
          <w:szCs w:val="32"/>
          <w:highlight w:val="none"/>
        </w:rPr>
        <w:t xml:space="preserve">4. 公共安全支出（类）司法（款）普法宣传（项）: </w:t>
      </w:r>
      <w:r>
        <w:rPr>
          <w:rStyle w:val="16"/>
          <w:rFonts w:hint="eastAsia" w:ascii="仿宋" w:hAnsi="仿宋" w:eastAsia="仿宋"/>
          <w:b w:val="0"/>
          <w:bCs w:val="0"/>
          <w:color w:val="auto"/>
          <w:sz w:val="32"/>
          <w:szCs w:val="32"/>
          <w:highlight w:val="none"/>
        </w:rPr>
        <w:t>支出决算为</w:t>
      </w:r>
      <w:r>
        <w:rPr>
          <w:rStyle w:val="16"/>
          <w:rFonts w:hint="eastAsia" w:ascii="仿宋" w:hAnsi="仿宋" w:eastAsia="仿宋"/>
          <w:b w:val="0"/>
          <w:bCs w:val="0"/>
          <w:color w:val="auto"/>
          <w:sz w:val="32"/>
          <w:szCs w:val="32"/>
          <w:highlight w:val="none"/>
          <w:lang w:val="en-US" w:eastAsia="zh-CN"/>
        </w:rPr>
        <w:t>3</w:t>
      </w:r>
      <w:r>
        <w:rPr>
          <w:rStyle w:val="16"/>
          <w:rFonts w:hint="eastAsia" w:ascii="仿宋" w:hAnsi="仿宋" w:eastAsia="仿宋"/>
          <w:b w:val="0"/>
          <w:bCs w:val="0"/>
          <w:color w:val="auto"/>
          <w:sz w:val="32"/>
          <w:szCs w:val="32"/>
          <w:highlight w:val="none"/>
        </w:rPr>
        <w:t>万元，完成预算</w:t>
      </w:r>
      <w:r>
        <w:rPr>
          <w:rStyle w:val="16"/>
          <w:rFonts w:hint="eastAsia" w:ascii="仿宋" w:hAnsi="仿宋" w:eastAsia="仿宋"/>
          <w:b w:val="0"/>
          <w:bCs w:val="0"/>
          <w:color w:val="auto"/>
          <w:sz w:val="32"/>
          <w:szCs w:val="32"/>
          <w:highlight w:val="none"/>
          <w:lang w:val="en-US" w:eastAsia="zh-CN"/>
        </w:rPr>
        <w:t>100</w:t>
      </w:r>
      <w:r>
        <w:rPr>
          <w:rStyle w:val="16"/>
          <w:rFonts w:hint="eastAsia" w:ascii="仿宋" w:hAnsi="仿宋" w:eastAsia="仿宋"/>
          <w:b w:val="0"/>
          <w:bCs w:val="0"/>
          <w:color w:val="auto"/>
          <w:sz w:val="32"/>
          <w:szCs w:val="32"/>
          <w:highlight w:val="none"/>
        </w:rPr>
        <w:t>%。</w:t>
      </w:r>
    </w:p>
    <w:p w14:paraId="422ACB78">
      <w:pPr>
        <w:spacing w:line="600" w:lineRule="exact"/>
        <w:ind w:firstLine="643" w:firstLineChars="200"/>
        <w:rPr>
          <w:rFonts w:hint="eastAsia"/>
        </w:rPr>
      </w:pPr>
      <w:r>
        <w:rPr>
          <w:rStyle w:val="16"/>
          <w:rFonts w:hint="eastAsia" w:ascii="仿宋" w:hAnsi="仿宋" w:eastAsia="仿宋"/>
          <w:bCs/>
          <w:color w:val="auto"/>
          <w:sz w:val="32"/>
          <w:szCs w:val="32"/>
          <w:highlight w:val="none"/>
        </w:rPr>
        <w:t>5. 公共安全支出（类）司法（款）</w:t>
      </w:r>
      <w:r>
        <w:rPr>
          <w:rStyle w:val="16"/>
          <w:rFonts w:hint="eastAsia" w:ascii="仿宋" w:hAnsi="仿宋" w:eastAsia="仿宋"/>
          <w:bCs/>
          <w:color w:val="auto"/>
          <w:sz w:val="32"/>
          <w:szCs w:val="32"/>
          <w:highlight w:val="none"/>
          <w:lang w:val="en-US" w:eastAsia="zh-CN"/>
        </w:rPr>
        <w:t>律师管理</w:t>
      </w:r>
      <w:r>
        <w:rPr>
          <w:rStyle w:val="16"/>
          <w:rFonts w:hint="eastAsia" w:ascii="仿宋" w:hAnsi="仿宋" w:eastAsia="仿宋"/>
          <w:bCs/>
          <w:color w:val="auto"/>
          <w:sz w:val="32"/>
          <w:szCs w:val="32"/>
          <w:highlight w:val="none"/>
        </w:rPr>
        <w:t xml:space="preserve">（项）: </w:t>
      </w:r>
      <w:r>
        <w:rPr>
          <w:rStyle w:val="16"/>
          <w:rFonts w:hint="eastAsia" w:ascii="仿宋" w:hAnsi="仿宋" w:eastAsia="仿宋"/>
          <w:b w:val="0"/>
          <w:bCs w:val="0"/>
          <w:color w:val="auto"/>
          <w:sz w:val="32"/>
          <w:szCs w:val="32"/>
          <w:highlight w:val="none"/>
        </w:rPr>
        <w:t>支出决算为</w:t>
      </w:r>
      <w:r>
        <w:rPr>
          <w:rStyle w:val="16"/>
          <w:rFonts w:hint="eastAsia" w:ascii="仿宋" w:hAnsi="仿宋" w:eastAsia="仿宋"/>
          <w:b w:val="0"/>
          <w:bCs w:val="0"/>
          <w:color w:val="auto"/>
          <w:sz w:val="32"/>
          <w:szCs w:val="32"/>
          <w:highlight w:val="none"/>
          <w:lang w:val="en-US" w:eastAsia="zh-CN"/>
        </w:rPr>
        <w:t>10</w:t>
      </w:r>
      <w:r>
        <w:rPr>
          <w:rStyle w:val="16"/>
          <w:rFonts w:hint="eastAsia" w:ascii="仿宋" w:hAnsi="仿宋" w:eastAsia="仿宋"/>
          <w:b w:val="0"/>
          <w:bCs w:val="0"/>
          <w:color w:val="auto"/>
          <w:sz w:val="32"/>
          <w:szCs w:val="32"/>
          <w:highlight w:val="none"/>
        </w:rPr>
        <w:t>万元，完成预算</w:t>
      </w:r>
      <w:r>
        <w:rPr>
          <w:rStyle w:val="16"/>
          <w:rFonts w:hint="eastAsia" w:ascii="仿宋" w:hAnsi="仿宋" w:eastAsia="仿宋"/>
          <w:b w:val="0"/>
          <w:bCs w:val="0"/>
          <w:color w:val="auto"/>
          <w:sz w:val="32"/>
          <w:szCs w:val="32"/>
          <w:highlight w:val="none"/>
          <w:lang w:val="en-US" w:eastAsia="zh-CN"/>
        </w:rPr>
        <w:t>100</w:t>
      </w:r>
      <w:r>
        <w:rPr>
          <w:rStyle w:val="16"/>
          <w:rFonts w:hint="eastAsia" w:ascii="仿宋" w:hAnsi="仿宋" w:eastAsia="仿宋"/>
          <w:b w:val="0"/>
          <w:bCs w:val="0"/>
          <w:color w:val="auto"/>
          <w:sz w:val="32"/>
          <w:szCs w:val="32"/>
          <w:highlight w:val="none"/>
        </w:rPr>
        <w:t>%。</w:t>
      </w:r>
    </w:p>
    <w:p w14:paraId="4814A966">
      <w:pPr>
        <w:spacing w:line="600" w:lineRule="exact"/>
        <w:ind w:firstLine="643" w:firstLineChars="200"/>
        <w:rPr>
          <w:rStyle w:val="16"/>
          <w:rFonts w:hint="eastAsia" w:ascii="仿宋" w:hAnsi="仿宋" w:eastAsia="仿宋"/>
          <w:b w:val="0"/>
          <w:bCs w:val="0"/>
          <w:color w:val="auto"/>
          <w:sz w:val="32"/>
          <w:szCs w:val="32"/>
          <w:highlight w:val="none"/>
        </w:rPr>
      </w:pPr>
      <w:r>
        <w:rPr>
          <w:rStyle w:val="16"/>
          <w:rFonts w:hint="eastAsia" w:ascii="仿宋" w:hAnsi="仿宋" w:eastAsia="仿宋"/>
          <w:bCs/>
          <w:color w:val="auto"/>
          <w:sz w:val="32"/>
          <w:szCs w:val="32"/>
          <w:highlight w:val="none"/>
          <w:lang w:val="en-US" w:eastAsia="zh-CN"/>
        </w:rPr>
        <w:t>6</w:t>
      </w:r>
      <w:r>
        <w:rPr>
          <w:rStyle w:val="16"/>
          <w:rFonts w:hint="eastAsia" w:ascii="仿宋" w:hAnsi="仿宋" w:eastAsia="仿宋"/>
          <w:bCs/>
          <w:color w:val="auto"/>
          <w:sz w:val="32"/>
          <w:szCs w:val="32"/>
          <w:highlight w:val="none"/>
        </w:rPr>
        <w:t>. 公共安全支出（类）司法（款）</w:t>
      </w:r>
      <w:r>
        <w:rPr>
          <w:rStyle w:val="16"/>
          <w:rFonts w:hint="eastAsia" w:ascii="仿宋" w:hAnsi="仿宋" w:eastAsia="仿宋"/>
          <w:bCs/>
          <w:color w:val="auto"/>
          <w:sz w:val="32"/>
          <w:szCs w:val="32"/>
          <w:highlight w:val="none"/>
          <w:lang w:eastAsia="zh-CN"/>
        </w:rPr>
        <w:t>公共法律服务</w:t>
      </w:r>
      <w:r>
        <w:rPr>
          <w:rStyle w:val="16"/>
          <w:rFonts w:hint="eastAsia" w:ascii="仿宋" w:hAnsi="仿宋" w:eastAsia="仿宋"/>
          <w:bCs/>
          <w:color w:val="auto"/>
          <w:sz w:val="32"/>
          <w:szCs w:val="32"/>
          <w:highlight w:val="none"/>
        </w:rPr>
        <w:t xml:space="preserve">（项）: </w:t>
      </w:r>
      <w:r>
        <w:rPr>
          <w:rStyle w:val="16"/>
          <w:rFonts w:hint="eastAsia" w:ascii="仿宋" w:hAnsi="仿宋" w:eastAsia="仿宋"/>
          <w:b w:val="0"/>
          <w:bCs w:val="0"/>
          <w:color w:val="auto"/>
          <w:sz w:val="32"/>
          <w:szCs w:val="32"/>
          <w:highlight w:val="none"/>
        </w:rPr>
        <w:t>支出决算为</w:t>
      </w:r>
      <w:r>
        <w:rPr>
          <w:rStyle w:val="16"/>
          <w:rFonts w:hint="eastAsia" w:ascii="仿宋" w:hAnsi="仿宋" w:eastAsia="仿宋"/>
          <w:b w:val="0"/>
          <w:bCs w:val="0"/>
          <w:color w:val="auto"/>
          <w:sz w:val="32"/>
          <w:szCs w:val="32"/>
          <w:highlight w:val="none"/>
          <w:lang w:val="en-US" w:eastAsia="zh-CN"/>
        </w:rPr>
        <w:t>121.86</w:t>
      </w:r>
      <w:r>
        <w:rPr>
          <w:rStyle w:val="16"/>
          <w:rFonts w:hint="eastAsia" w:ascii="仿宋" w:hAnsi="仿宋" w:eastAsia="仿宋"/>
          <w:b w:val="0"/>
          <w:bCs w:val="0"/>
          <w:color w:val="auto"/>
          <w:sz w:val="32"/>
          <w:szCs w:val="32"/>
          <w:highlight w:val="none"/>
        </w:rPr>
        <w:t>万元，完成预算</w:t>
      </w:r>
      <w:r>
        <w:rPr>
          <w:rStyle w:val="16"/>
          <w:rFonts w:hint="eastAsia" w:ascii="仿宋" w:hAnsi="仿宋" w:eastAsia="仿宋"/>
          <w:b w:val="0"/>
          <w:bCs w:val="0"/>
          <w:color w:val="auto"/>
          <w:sz w:val="32"/>
          <w:szCs w:val="32"/>
          <w:highlight w:val="none"/>
          <w:lang w:val="en-US" w:eastAsia="zh-CN"/>
        </w:rPr>
        <w:t>100</w:t>
      </w:r>
      <w:r>
        <w:rPr>
          <w:rStyle w:val="16"/>
          <w:rFonts w:hint="eastAsia" w:ascii="仿宋" w:hAnsi="仿宋" w:eastAsia="仿宋"/>
          <w:b w:val="0"/>
          <w:bCs w:val="0"/>
          <w:color w:val="auto"/>
          <w:sz w:val="32"/>
          <w:szCs w:val="32"/>
          <w:highlight w:val="none"/>
        </w:rPr>
        <w:t>%。</w:t>
      </w:r>
    </w:p>
    <w:p w14:paraId="75B8AF8A">
      <w:pPr>
        <w:spacing w:line="600" w:lineRule="exact"/>
        <w:ind w:firstLine="643" w:firstLineChars="200"/>
        <w:rPr>
          <w:rStyle w:val="16"/>
          <w:rFonts w:hint="eastAsia" w:ascii="仿宋" w:hAnsi="仿宋" w:eastAsia="仿宋"/>
          <w:b w:val="0"/>
          <w:bCs w:val="0"/>
          <w:color w:val="auto"/>
          <w:sz w:val="32"/>
          <w:szCs w:val="32"/>
          <w:highlight w:val="none"/>
        </w:rPr>
      </w:pPr>
      <w:r>
        <w:rPr>
          <w:rStyle w:val="16"/>
          <w:rFonts w:hint="eastAsia" w:ascii="仿宋" w:hAnsi="仿宋" w:eastAsia="仿宋"/>
          <w:bCs/>
          <w:color w:val="auto"/>
          <w:sz w:val="32"/>
          <w:szCs w:val="32"/>
          <w:highlight w:val="none"/>
          <w:lang w:val="en-US" w:eastAsia="zh-CN"/>
        </w:rPr>
        <w:t>7</w:t>
      </w:r>
      <w:r>
        <w:rPr>
          <w:rStyle w:val="16"/>
          <w:rFonts w:hint="eastAsia" w:ascii="仿宋" w:hAnsi="仿宋" w:eastAsia="仿宋"/>
          <w:bCs/>
          <w:color w:val="auto"/>
          <w:sz w:val="32"/>
          <w:szCs w:val="32"/>
          <w:highlight w:val="none"/>
        </w:rPr>
        <w:t xml:space="preserve">. 公共安全支出（类）司法（款）社区矫正（项）: </w:t>
      </w:r>
      <w:r>
        <w:rPr>
          <w:rStyle w:val="16"/>
          <w:rFonts w:hint="eastAsia" w:ascii="仿宋" w:hAnsi="仿宋" w:eastAsia="仿宋"/>
          <w:b w:val="0"/>
          <w:bCs w:val="0"/>
          <w:color w:val="auto"/>
          <w:sz w:val="32"/>
          <w:szCs w:val="32"/>
          <w:highlight w:val="none"/>
        </w:rPr>
        <w:t>支出决算为</w:t>
      </w:r>
      <w:r>
        <w:rPr>
          <w:rStyle w:val="16"/>
          <w:rFonts w:hint="eastAsia" w:ascii="仿宋" w:hAnsi="仿宋" w:eastAsia="仿宋"/>
          <w:b w:val="0"/>
          <w:bCs w:val="0"/>
          <w:color w:val="auto"/>
          <w:sz w:val="32"/>
          <w:szCs w:val="32"/>
          <w:highlight w:val="none"/>
          <w:lang w:val="en-US" w:eastAsia="zh-CN"/>
        </w:rPr>
        <w:t>10</w:t>
      </w:r>
      <w:r>
        <w:rPr>
          <w:rStyle w:val="16"/>
          <w:rFonts w:hint="eastAsia" w:ascii="仿宋" w:hAnsi="仿宋" w:eastAsia="仿宋"/>
          <w:b w:val="0"/>
          <w:bCs w:val="0"/>
          <w:color w:val="auto"/>
          <w:sz w:val="32"/>
          <w:szCs w:val="32"/>
          <w:highlight w:val="none"/>
        </w:rPr>
        <w:t>万元，完成预算</w:t>
      </w:r>
      <w:r>
        <w:rPr>
          <w:rStyle w:val="16"/>
          <w:rFonts w:hint="eastAsia" w:ascii="仿宋" w:hAnsi="仿宋" w:eastAsia="仿宋"/>
          <w:b w:val="0"/>
          <w:bCs w:val="0"/>
          <w:color w:val="auto"/>
          <w:sz w:val="32"/>
          <w:szCs w:val="32"/>
          <w:highlight w:val="none"/>
          <w:lang w:val="en-US" w:eastAsia="zh-CN"/>
        </w:rPr>
        <w:t>100</w:t>
      </w:r>
      <w:r>
        <w:rPr>
          <w:rStyle w:val="16"/>
          <w:rFonts w:hint="eastAsia" w:ascii="仿宋" w:hAnsi="仿宋" w:eastAsia="仿宋"/>
          <w:b w:val="0"/>
          <w:bCs w:val="0"/>
          <w:color w:val="auto"/>
          <w:sz w:val="32"/>
          <w:szCs w:val="32"/>
          <w:highlight w:val="none"/>
        </w:rPr>
        <w:t>%。</w:t>
      </w:r>
    </w:p>
    <w:p w14:paraId="455CEE7F">
      <w:pPr>
        <w:spacing w:line="600" w:lineRule="exact"/>
        <w:ind w:firstLine="643" w:firstLineChars="200"/>
        <w:rPr>
          <w:rFonts w:hint="eastAsia"/>
        </w:rPr>
      </w:pPr>
      <w:r>
        <w:rPr>
          <w:rStyle w:val="16"/>
          <w:rFonts w:hint="eastAsia" w:ascii="仿宋" w:hAnsi="仿宋" w:eastAsia="仿宋"/>
          <w:bCs/>
          <w:color w:val="auto"/>
          <w:sz w:val="32"/>
          <w:szCs w:val="32"/>
          <w:highlight w:val="none"/>
          <w:lang w:val="en-US" w:eastAsia="zh-CN"/>
        </w:rPr>
        <w:t>8.</w:t>
      </w:r>
      <w:r>
        <w:rPr>
          <w:rStyle w:val="16"/>
          <w:rFonts w:hint="eastAsia" w:ascii="仿宋" w:hAnsi="仿宋" w:eastAsia="仿宋"/>
          <w:bCs/>
          <w:color w:val="auto"/>
          <w:sz w:val="32"/>
          <w:szCs w:val="32"/>
          <w:highlight w:val="none"/>
        </w:rPr>
        <w:t xml:space="preserve"> 公共安全支出（类）司法（款）</w:t>
      </w:r>
      <w:r>
        <w:rPr>
          <w:rStyle w:val="16"/>
          <w:rFonts w:hint="eastAsia" w:ascii="仿宋" w:hAnsi="仿宋" w:eastAsia="仿宋"/>
          <w:bCs/>
          <w:color w:val="auto"/>
          <w:sz w:val="32"/>
          <w:szCs w:val="32"/>
          <w:highlight w:val="none"/>
          <w:lang w:eastAsia="zh-CN"/>
        </w:rPr>
        <w:t>法</w:t>
      </w:r>
      <w:r>
        <w:rPr>
          <w:rStyle w:val="16"/>
          <w:rFonts w:hint="eastAsia" w:ascii="仿宋" w:hAnsi="仿宋" w:eastAsia="仿宋"/>
          <w:bCs/>
          <w:color w:val="auto"/>
          <w:sz w:val="32"/>
          <w:szCs w:val="32"/>
          <w:highlight w:val="none"/>
          <w:lang w:val="en-US" w:eastAsia="zh-CN"/>
        </w:rPr>
        <w:t>治</w:t>
      </w:r>
      <w:r>
        <w:rPr>
          <w:rStyle w:val="16"/>
          <w:rFonts w:hint="eastAsia" w:ascii="仿宋" w:hAnsi="仿宋" w:eastAsia="仿宋"/>
          <w:bCs/>
          <w:color w:val="auto"/>
          <w:sz w:val="32"/>
          <w:szCs w:val="32"/>
          <w:highlight w:val="none"/>
          <w:lang w:eastAsia="zh-CN"/>
        </w:rPr>
        <w:t>建设</w:t>
      </w:r>
      <w:r>
        <w:rPr>
          <w:rStyle w:val="16"/>
          <w:rFonts w:hint="eastAsia" w:ascii="仿宋" w:hAnsi="仿宋" w:eastAsia="仿宋"/>
          <w:bCs/>
          <w:color w:val="auto"/>
          <w:sz w:val="32"/>
          <w:szCs w:val="32"/>
          <w:highlight w:val="none"/>
        </w:rPr>
        <w:t xml:space="preserve">（项）: </w:t>
      </w:r>
      <w:r>
        <w:rPr>
          <w:rStyle w:val="16"/>
          <w:rFonts w:hint="eastAsia" w:ascii="仿宋" w:hAnsi="仿宋" w:eastAsia="仿宋"/>
          <w:b w:val="0"/>
          <w:bCs w:val="0"/>
          <w:color w:val="auto"/>
          <w:sz w:val="32"/>
          <w:szCs w:val="32"/>
          <w:highlight w:val="none"/>
        </w:rPr>
        <w:t>支出决算为</w:t>
      </w:r>
      <w:r>
        <w:rPr>
          <w:rStyle w:val="16"/>
          <w:rFonts w:hint="eastAsia" w:ascii="仿宋" w:hAnsi="仿宋" w:eastAsia="仿宋"/>
          <w:b w:val="0"/>
          <w:bCs w:val="0"/>
          <w:color w:val="auto"/>
          <w:sz w:val="32"/>
          <w:szCs w:val="32"/>
          <w:highlight w:val="none"/>
          <w:lang w:val="en-US" w:eastAsia="zh-CN"/>
        </w:rPr>
        <w:t>14</w:t>
      </w:r>
      <w:r>
        <w:rPr>
          <w:rStyle w:val="16"/>
          <w:rFonts w:hint="eastAsia" w:ascii="仿宋" w:hAnsi="仿宋" w:eastAsia="仿宋"/>
          <w:b w:val="0"/>
          <w:bCs w:val="0"/>
          <w:color w:val="auto"/>
          <w:sz w:val="32"/>
          <w:szCs w:val="32"/>
          <w:highlight w:val="none"/>
        </w:rPr>
        <w:t>万元，完成预算</w:t>
      </w:r>
      <w:r>
        <w:rPr>
          <w:rStyle w:val="16"/>
          <w:rFonts w:hint="eastAsia" w:ascii="仿宋" w:hAnsi="仿宋" w:eastAsia="仿宋"/>
          <w:b w:val="0"/>
          <w:bCs w:val="0"/>
          <w:color w:val="auto"/>
          <w:sz w:val="32"/>
          <w:szCs w:val="32"/>
          <w:highlight w:val="none"/>
          <w:lang w:val="en-US" w:eastAsia="zh-CN"/>
        </w:rPr>
        <w:t>100</w:t>
      </w:r>
      <w:r>
        <w:rPr>
          <w:rStyle w:val="16"/>
          <w:rFonts w:hint="eastAsia" w:ascii="仿宋" w:hAnsi="仿宋" w:eastAsia="仿宋"/>
          <w:b w:val="0"/>
          <w:bCs w:val="0"/>
          <w:color w:val="auto"/>
          <w:sz w:val="32"/>
          <w:szCs w:val="32"/>
          <w:highlight w:val="none"/>
        </w:rPr>
        <w:t>%。</w:t>
      </w:r>
    </w:p>
    <w:p w14:paraId="5FA57A03">
      <w:pPr>
        <w:spacing w:line="600" w:lineRule="exact"/>
        <w:ind w:firstLine="643" w:firstLineChars="200"/>
        <w:rPr>
          <w:rStyle w:val="16"/>
          <w:rFonts w:hint="eastAsia" w:ascii="仿宋" w:hAnsi="仿宋" w:eastAsia="仿宋"/>
          <w:b w:val="0"/>
          <w:bCs w:val="0"/>
          <w:color w:val="auto"/>
          <w:sz w:val="32"/>
          <w:szCs w:val="32"/>
          <w:highlight w:val="none"/>
        </w:rPr>
      </w:pPr>
      <w:r>
        <w:rPr>
          <w:rStyle w:val="16"/>
          <w:rFonts w:hint="eastAsia" w:ascii="仿宋" w:hAnsi="仿宋" w:eastAsia="仿宋"/>
          <w:bCs/>
          <w:color w:val="auto"/>
          <w:sz w:val="32"/>
          <w:szCs w:val="32"/>
          <w:highlight w:val="none"/>
          <w:lang w:val="en-US" w:eastAsia="zh-CN"/>
        </w:rPr>
        <w:t>9</w:t>
      </w:r>
      <w:r>
        <w:rPr>
          <w:rStyle w:val="16"/>
          <w:rFonts w:hint="eastAsia" w:ascii="仿宋" w:hAnsi="仿宋" w:eastAsia="仿宋"/>
          <w:bCs/>
          <w:color w:val="auto"/>
          <w:sz w:val="32"/>
          <w:szCs w:val="32"/>
          <w:highlight w:val="none"/>
        </w:rPr>
        <w:t xml:space="preserve">.社会保障和就业（类）行政事业单位离退休（款）机关事业单位基本养老保险缴费支出（项）: </w:t>
      </w:r>
      <w:r>
        <w:rPr>
          <w:rStyle w:val="16"/>
          <w:rFonts w:hint="eastAsia" w:ascii="仿宋" w:hAnsi="仿宋" w:eastAsia="仿宋"/>
          <w:b w:val="0"/>
          <w:bCs w:val="0"/>
          <w:color w:val="auto"/>
          <w:sz w:val="32"/>
          <w:szCs w:val="32"/>
          <w:highlight w:val="none"/>
        </w:rPr>
        <w:t>支出决算为</w:t>
      </w:r>
      <w:r>
        <w:rPr>
          <w:rStyle w:val="16"/>
          <w:rFonts w:hint="eastAsia" w:ascii="仿宋" w:hAnsi="仿宋" w:eastAsia="仿宋"/>
          <w:b w:val="0"/>
          <w:bCs w:val="0"/>
          <w:color w:val="auto"/>
          <w:sz w:val="32"/>
          <w:szCs w:val="32"/>
          <w:highlight w:val="none"/>
          <w:lang w:val="en-US" w:eastAsia="zh-CN"/>
        </w:rPr>
        <w:t>116.78</w:t>
      </w:r>
      <w:r>
        <w:rPr>
          <w:rStyle w:val="16"/>
          <w:rFonts w:hint="eastAsia" w:ascii="仿宋" w:hAnsi="仿宋" w:eastAsia="仿宋"/>
          <w:b w:val="0"/>
          <w:bCs w:val="0"/>
          <w:color w:val="auto"/>
          <w:sz w:val="32"/>
          <w:szCs w:val="32"/>
          <w:highlight w:val="none"/>
        </w:rPr>
        <w:t>万元，完成预算100%。</w:t>
      </w:r>
    </w:p>
    <w:p w14:paraId="2B8CF1DD">
      <w:pPr>
        <w:pStyle w:val="5"/>
        <w:ind w:firstLine="643" w:firstLineChars="200"/>
        <w:rPr>
          <w:rFonts w:hint="eastAsia" w:eastAsia="仿宋"/>
          <w:lang w:eastAsia="zh-CN"/>
        </w:rPr>
      </w:pPr>
      <w:r>
        <w:rPr>
          <w:rStyle w:val="16"/>
          <w:rFonts w:hint="eastAsia" w:ascii="仿宋" w:hAnsi="仿宋" w:eastAsia="仿宋"/>
          <w:bCs/>
          <w:color w:val="auto"/>
          <w:sz w:val="32"/>
          <w:szCs w:val="32"/>
          <w:highlight w:val="none"/>
          <w:lang w:val="en-US" w:eastAsia="zh-CN"/>
        </w:rPr>
        <w:t>10</w:t>
      </w:r>
      <w:r>
        <w:rPr>
          <w:rStyle w:val="16"/>
          <w:rFonts w:hint="eastAsia" w:ascii="仿宋" w:hAnsi="仿宋" w:eastAsia="仿宋"/>
          <w:bCs/>
          <w:color w:val="auto"/>
          <w:sz w:val="32"/>
          <w:szCs w:val="32"/>
          <w:highlight w:val="none"/>
        </w:rPr>
        <w:t>.社会保障和就业（类）其他社会保障和就业支出（款）其他社会保障和就业支出（项）</w:t>
      </w:r>
      <w:r>
        <w:rPr>
          <w:rStyle w:val="16"/>
          <w:rFonts w:hint="eastAsia" w:ascii="仿宋" w:hAnsi="仿宋" w:eastAsia="仿宋"/>
          <w:bCs/>
          <w:color w:val="auto"/>
          <w:sz w:val="32"/>
          <w:szCs w:val="32"/>
          <w:highlight w:val="none"/>
          <w:lang w:eastAsia="zh-CN"/>
        </w:rPr>
        <w:t>：</w:t>
      </w:r>
      <w:r>
        <w:rPr>
          <w:rStyle w:val="16"/>
          <w:rFonts w:hint="eastAsia" w:ascii="仿宋" w:hAnsi="仿宋" w:eastAsia="仿宋"/>
          <w:b w:val="0"/>
          <w:bCs w:val="0"/>
          <w:color w:val="auto"/>
          <w:sz w:val="32"/>
          <w:szCs w:val="32"/>
          <w:highlight w:val="none"/>
          <w:lang w:eastAsia="zh-CN"/>
        </w:rPr>
        <w:t>支出决算为</w:t>
      </w:r>
      <w:r>
        <w:rPr>
          <w:rStyle w:val="16"/>
          <w:rFonts w:hint="eastAsia" w:ascii="仿宋" w:hAnsi="仿宋" w:eastAsia="仿宋"/>
          <w:b w:val="0"/>
          <w:bCs w:val="0"/>
          <w:color w:val="auto"/>
          <w:sz w:val="32"/>
          <w:szCs w:val="32"/>
          <w:highlight w:val="none"/>
          <w:lang w:val="en-US" w:eastAsia="zh-CN"/>
        </w:rPr>
        <w:t>2.21</w:t>
      </w:r>
      <w:r>
        <w:rPr>
          <w:rStyle w:val="16"/>
          <w:rFonts w:hint="eastAsia" w:ascii="仿宋" w:hAnsi="仿宋" w:eastAsia="仿宋"/>
          <w:b w:val="0"/>
          <w:bCs w:val="0"/>
          <w:color w:val="auto"/>
          <w:sz w:val="32"/>
          <w:szCs w:val="32"/>
          <w:highlight w:val="none"/>
          <w:lang w:eastAsia="zh-CN"/>
        </w:rPr>
        <w:t>万元，完成预算100%。</w:t>
      </w:r>
    </w:p>
    <w:p w14:paraId="0B2A8576">
      <w:pPr>
        <w:spacing w:line="600" w:lineRule="exact"/>
        <w:ind w:firstLine="643" w:firstLineChars="200"/>
        <w:rPr>
          <w:rStyle w:val="16"/>
          <w:rFonts w:hint="eastAsia" w:ascii="仿宋" w:hAnsi="仿宋" w:eastAsia="仿宋"/>
          <w:bCs/>
          <w:color w:val="auto"/>
          <w:sz w:val="32"/>
          <w:szCs w:val="32"/>
          <w:highlight w:val="none"/>
        </w:rPr>
      </w:pPr>
      <w:r>
        <w:rPr>
          <w:rStyle w:val="16"/>
          <w:rFonts w:hint="eastAsia" w:ascii="仿宋" w:hAnsi="仿宋" w:eastAsia="仿宋"/>
          <w:bCs/>
          <w:color w:val="auto"/>
          <w:sz w:val="32"/>
          <w:szCs w:val="32"/>
          <w:highlight w:val="none"/>
          <w:lang w:val="en-US" w:eastAsia="zh-CN"/>
        </w:rPr>
        <w:t>11</w:t>
      </w:r>
      <w:r>
        <w:rPr>
          <w:rStyle w:val="16"/>
          <w:rFonts w:hint="eastAsia" w:ascii="仿宋" w:hAnsi="仿宋" w:eastAsia="仿宋"/>
          <w:bCs/>
          <w:color w:val="auto"/>
          <w:sz w:val="32"/>
          <w:szCs w:val="32"/>
          <w:highlight w:val="none"/>
        </w:rPr>
        <w:t>.卫生健康（类）行政事业单位医疗（款）行政单位医疗（项）:</w:t>
      </w:r>
      <w:r>
        <w:rPr>
          <w:rStyle w:val="16"/>
          <w:rFonts w:hint="eastAsia" w:ascii="仿宋" w:hAnsi="仿宋" w:eastAsia="仿宋"/>
          <w:b w:val="0"/>
          <w:bCs w:val="0"/>
          <w:color w:val="auto"/>
          <w:sz w:val="32"/>
          <w:szCs w:val="32"/>
          <w:highlight w:val="none"/>
        </w:rPr>
        <w:t>支出决算为</w:t>
      </w:r>
      <w:r>
        <w:rPr>
          <w:rStyle w:val="16"/>
          <w:rFonts w:hint="eastAsia" w:ascii="仿宋" w:hAnsi="仿宋" w:eastAsia="仿宋"/>
          <w:b w:val="0"/>
          <w:bCs w:val="0"/>
          <w:color w:val="auto"/>
          <w:sz w:val="32"/>
          <w:szCs w:val="32"/>
          <w:highlight w:val="none"/>
          <w:lang w:val="en-US" w:eastAsia="zh-CN"/>
        </w:rPr>
        <w:t>48.31</w:t>
      </w:r>
      <w:r>
        <w:rPr>
          <w:rStyle w:val="16"/>
          <w:rFonts w:hint="eastAsia" w:ascii="仿宋" w:hAnsi="仿宋" w:eastAsia="仿宋"/>
          <w:b w:val="0"/>
          <w:bCs w:val="0"/>
          <w:color w:val="auto"/>
          <w:sz w:val="32"/>
          <w:szCs w:val="32"/>
          <w:highlight w:val="none"/>
        </w:rPr>
        <w:t>万元，完成预算100%。</w:t>
      </w:r>
      <w:r>
        <w:rPr>
          <w:rStyle w:val="16"/>
          <w:rFonts w:hint="eastAsia" w:ascii="仿宋" w:hAnsi="仿宋" w:eastAsia="仿宋"/>
          <w:bCs/>
          <w:color w:val="auto"/>
          <w:sz w:val="32"/>
          <w:szCs w:val="32"/>
          <w:highlight w:val="none"/>
        </w:rPr>
        <w:t xml:space="preserve"> </w:t>
      </w:r>
    </w:p>
    <w:p w14:paraId="651D4DC8">
      <w:pPr>
        <w:spacing w:line="600" w:lineRule="exact"/>
        <w:ind w:firstLine="643" w:firstLineChars="200"/>
        <w:rPr>
          <w:rFonts w:hint="eastAsia"/>
        </w:rPr>
      </w:pPr>
      <w:r>
        <w:rPr>
          <w:rStyle w:val="16"/>
          <w:rFonts w:hint="eastAsia" w:ascii="仿宋" w:hAnsi="仿宋" w:eastAsia="仿宋"/>
          <w:bCs/>
          <w:color w:val="auto"/>
          <w:sz w:val="32"/>
          <w:szCs w:val="32"/>
          <w:highlight w:val="none"/>
          <w:lang w:val="en-US" w:eastAsia="zh-CN"/>
        </w:rPr>
        <w:t>12</w:t>
      </w:r>
      <w:r>
        <w:rPr>
          <w:rStyle w:val="16"/>
          <w:rFonts w:hint="eastAsia" w:ascii="仿宋" w:hAnsi="仿宋" w:eastAsia="仿宋"/>
          <w:bCs/>
          <w:color w:val="auto"/>
          <w:sz w:val="32"/>
          <w:szCs w:val="32"/>
          <w:highlight w:val="none"/>
        </w:rPr>
        <w:t>.卫生健康（类）行政事业单位医疗（款）</w:t>
      </w:r>
      <w:r>
        <w:rPr>
          <w:rStyle w:val="16"/>
          <w:rFonts w:hint="eastAsia" w:ascii="仿宋" w:hAnsi="仿宋" w:eastAsia="仿宋"/>
          <w:bCs/>
          <w:color w:val="auto"/>
          <w:sz w:val="32"/>
          <w:szCs w:val="32"/>
          <w:highlight w:val="none"/>
          <w:lang w:val="en-US" w:eastAsia="zh-CN"/>
        </w:rPr>
        <w:t>事业</w:t>
      </w:r>
      <w:r>
        <w:rPr>
          <w:rStyle w:val="16"/>
          <w:rFonts w:hint="eastAsia" w:ascii="仿宋" w:hAnsi="仿宋" w:eastAsia="仿宋"/>
          <w:bCs/>
          <w:color w:val="auto"/>
          <w:sz w:val="32"/>
          <w:szCs w:val="32"/>
          <w:highlight w:val="none"/>
        </w:rPr>
        <w:t>单位医疗（项）:</w:t>
      </w:r>
      <w:r>
        <w:rPr>
          <w:rStyle w:val="16"/>
          <w:rFonts w:hint="eastAsia" w:ascii="仿宋" w:hAnsi="仿宋" w:eastAsia="仿宋"/>
          <w:b w:val="0"/>
          <w:bCs w:val="0"/>
          <w:color w:val="auto"/>
          <w:sz w:val="32"/>
          <w:szCs w:val="32"/>
          <w:highlight w:val="none"/>
        </w:rPr>
        <w:t>支出决算为</w:t>
      </w:r>
      <w:r>
        <w:rPr>
          <w:rStyle w:val="16"/>
          <w:rFonts w:hint="eastAsia" w:ascii="仿宋" w:hAnsi="仿宋" w:eastAsia="仿宋"/>
          <w:b w:val="0"/>
          <w:bCs w:val="0"/>
          <w:color w:val="auto"/>
          <w:sz w:val="32"/>
          <w:szCs w:val="32"/>
          <w:highlight w:val="none"/>
          <w:lang w:val="en-US" w:eastAsia="zh-CN"/>
        </w:rPr>
        <w:t>4.74</w:t>
      </w:r>
      <w:r>
        <w:rPr>
          <w:rStyle w:val="16"/>
          <w:rFonts w:hint="eastAsia" w:ascii="仿宋" w:hAnsi="仿宋" w:eastAsia="仿宋"/>
          <w:b w:val="0"/>
          <w:bCs w:val="0"/>
          <w:color w:val="auto"/>
          <w:sz w:val="32"/>
          <w:szCs w:val="32"/>
          <w:highlight w:val="none"/>
        </w:rPr>
        <w:t>万元，完成预算100%。</w:t>
      </w:r>
      <w:r>
        <w:rPr>
          <w:rStyle w:val="16"/>
          <w:rFonts w:hint="eastAsia" w:ascii="仿宋" w:hAnsi="仿宋" w:eastAsia="仿宋"/>
          <w:bCs/>
          <w:color w:val="auto"/>
          <w:sz w:val="32"/>
          <w:szCs w:val="32"/>
          <w:highlight w:val="none"/>
        </w:rPr>
        <w:t xml:space="preserve"> </w:t>
      </w:r>
    </w:p>
    <w:p w14:paraId="7ACB230F">
      <w:pPr>
        <w:spacing w:line="600" w:lineRule="exact"/>
        <w:ind w:firstLine="643" w:firstLineChars="200"/>
        <w:rPr>
          <w:rFonts w:hint="eastAsia"/>
          <w:lang w:eastAsia="zh-CN"/>
        </w:rPr>
      </w:pPr>
      <w:r>
        <w:rPr>
          <w:rStyle w:val="16"/>
          <w:rFonts w:hint="eastAsia" w:ascii="仿宋" w:hAnsi="仿宋" w:eastAsia="仿宋"/>
          <w:bCs/>
          <w:color w:val="auto"/>
          <w:sz w:val="32"/>
          <w:szCs w:val="32"/>
          <w:highlight w:val="none"/>
          <w:lang w:val="en-US" w:eastAsia="zh-CN"/>
        </w:rPr>
        <w:t>13</w:t>
      </w:r>
      <w:r>
        <w:rPr>
          <w:rStyle w:val="16"/>
          <w:rFonts w:hint="eastAsia" w:ascii="仿宋" w:hAnsi="仿宋" w:eastAsia="仿宋"/>
          <w:bCs/>
          <w:color w:val="auto"/>
          <w:sz w:val="32"/>
          <w:szCs w:val="32"/>
          <w:highlight w:val="none"/>
        </w:rPr>
        <w:t>.卫生健康（类）行政事业单位医疗（款）</w:t>
      </w:r>
      <w:r>
        <w:rPr>
          <w:rStyle w:val="16"/>
          <w:rFonts w:hint="eastAsia" w:ascii="仿宋" w:hAnsi="仿宋" w:eastAsia="仿宋"/>
          <w:bCs/>
          <w:color w:val="auto"/>
          <w:sz w:val="32"/>
          <w:szCs w:val="32"/>
          <w:highlight w:val="none"/>
          <w:lang w:eastAsia="zh-CN"/>
        </w:rPr>
        <w:t>公务员医疗补助</w:t>
      </w:r>
      <w:r>
        <w:rPr>
          <w:rStyle w:val="16"/>
          <w:rFonts w:hint="eastAsia" w:ascii="仿宋" w:hAnsi="仿宋" w:eastAsia="仿宋"/>
          <w:bCs/>
          <w:color w:val="auto"/>
          <w:sz w:val="32"/>
          <w:szCs w:val="32"/>
          <w:highlight w:val="none"/>
        </w:rPr>
        <w:t>（项）:</w:t>
      </w:r>
      <w:r>
        <w:rPr>
          <w:rStyle w:val="16"/>
          <w:rFonts w:hint="eastAsia" w:ascii="仿宋" w:hAnsi="仿宋" w:eastAsia="仿宋"/>
          <w:b w:val="0"/>
          <w:bCs w:val="0"/>
          <w:color w:val="auto"/>
          <w:sz w:val="32"/>
          <w:szCs w:val="32"/>
          <w:highlight w:val="none"/>
        </w:rPr>
        <w:t>支出决算为</w:t>
      </w:r>
      <w:r>
        <w:rPr>
          <w:rStyle w:val="16"/>
          <w:rFonts w:hint="eastAsia" w:ascii="仿宋" w:hAnsi="仿宋" w:eastAsia="仿宋"/>
          <w:b w:val="0"/>
          <w:bCs w:val="0"/>
          <w:color w:val="auto"/>
          <w:sz w:val="32"/>
          <w:szCs w:val="32"/>
          <w:highlight w:val="none"/>
          <w:lang w:val="en-US" w:eastAsia="zh-CN"/>
        </w:rPr>
        <w:t>14.04</w:t>
      </w:r>
      <w:r>
        <w:rPr>
          <w:rStyle w:val="16"/>
          <w:rFonts w:hint="eastAsia" w:ascii="仿宋" w:hAnsi="仿宋" w:eastAsia="仿宋"/>
          <w:b w:val="0"/>
          <w:bCs w:val="0"/>
          <w:color w:val="auto"/>
          <w:sz w:val="32"/>
          <w:szCs w:val="32"/>
          <w:highlight w:val="none"/>
        </w:rPr>
        <w:t>万元，完成预算100%。</w:t>
      </w:r>
      <w:r>
        <w:rPr>
          <w:rStyle w:val="16"/>
          <w:rFonts w:hint="eastAsia" w:ascii="仿宋" w:hAnsi="仿宋" w:eastAsia="仿宋"/>
          <w:bCs/>
          <w:color w:val="auto"/>
          <w:sz w:val="32"/>
          <w:szCs w:val="32"/>
          <w:highlight w:val="none"/>
        </w:rPr>
        <w:t xml:space="preserve"> </w:t>
      </w:r>
    </w:p>
    <w:p w14:paraId="085AE51F">
      <w:pPr>
        <w:spacing w:line="600" w:lineRule="exact"/>
        <w:ind w:firstLine="643" w:firstLineChars="200"/>
        <w:rPr>
          <w:rStyle w:val="16"/>
          <w:rFonts w:hint="eastAsia" w:ascii="仿宋" w:hAnsi="仿宋" w:eastAsia="仿宋"/>
          <w:b w:val="0"/>
          <w:bCs w:val="0"/>
          <w:color w:val="auto"/>
          <w:sz w:val="32"/>
          <w:szCs w:val="32"/>
          <w:highlight w:val="none"/>
        </w:rPr>
      </w:pPr>
      <w:r>
        <w:rPr>
          <w:rStyle w:val="16"/>
          <w:rFonts w:hint="eastAsia" w:ascii="仿宋" w:hAnsi="仿宋" w:eastAsia="仿宋"/>
          <w:bCs/>
          <w:color w:val="auto"/>
          <w:sz w:val="32"/>
          <w:szCs w:val="32"/>
          <w:highlight w:val="none"/>
        </w:rPr>
        <w:t>1</w:t>
      </w:r>
      <w:r>
        <w:rPr>
          <w:rStyle w:val="16"/>
          <w:rFonts w:hint="eastAsia" w:ascii="仿宋" w:hAnsi="仿宋" w:eastAsia="仿宋"/>
          <w:bCs/>
          <w:color w:val="auto"/>
          <w:sz w:val="32"/>
          <w:szCs w:val="32"/>
          <w:highlight w:val="none"/>
          <w:lang w:val="en-US" w:eastAsia="zh-CN"/>
        </w:rPr>
        <w:t>4</w:t>
      </w:r>
      <w:r>
        <w:rPr>
          <w:rStyle w:val="16"/>
          <w:rFonts w:hint="eastAsia" w:ascii="仿宋" w:hAnsi="仿宋" w:eastAsia="仿宋"/>
          <w:bCs/>
          <w:color w:val="auto"/>
          <w:sz w:val="32"/>
          <w:szCs w:val="32"/>
          <w:highlight w:val="none"/>
        </w:rPr>
        <w:t>.住房保障支出（类）住房改革支出（款）住房公积金（项）:</w:t>
      </w:r>
      <w:r>
        <w:rPr>
          <w:rStyle w:val="16"/>
          <w:rFonts w:hint="eastAsia" w:ascii="仿宋" w:hAnsi="仿宋" w:eastAsia="仿宋"/>
          <w:b w:val="0"/>
          <w:bCs w:val="0"/>
          <w:color w:val="auto"/>
          <w:sz w:val="32"/>
          <w:szCs w:val="32"/>
          <w:highlight w:val="none"/>
        </w:rPr>
        <w:t>支出决算为</w:t>
      </w:r>
      <w:r>
        <w:rPr>
          <w:rStyle w:val="16"/>
          <w:rFonts w:hint="eastAsia" w:ascii="仿宋" w:hAnsi="仿宋" w:eastAsia="仿宋"/>
          <w:b w:val="0"/>
          <w:bCs w:val="0"/>
          <w:color w:val="auto"/>
          <w:sz w:val="32"/>
          <w:szCs w:val="32"/>
          <w:highlight w:val="none"/>
          <w:lang w:val="en-US" w:eastAsia="zh-CN"/>
        </w:rPr>
        <w:t>94.32</w:t>
      </w:r>
      <w:r>
        <w:rPr>
          <w:rStyle w:val="16"/>
          <w:rFonts w:hint="eastAsia" w:ascii="仿宋" w:hAnsi="仿宋" w:eastAsia="仿宋"/>
          <w:b w:val="0"/>
          <w:bCs w:val="0"/>
          <w:color w:val="auto"/>
          <w:sz w:val="32"/>
          <w:szCs w:val="32"/>
          <w:highlight w:val="none"/>
        </w:rPr>
        <w:t>万元，完成预算100%。</w:t>
      </w:r>
    </w:p>
    <w:p w14:paraId="72234666">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14:paraId="01FD88C4">
      <w:pPr>
        <w:spacing w:line="600" w:lineRule="exact"/>
        <w:ind w:firstLine="640"/>
        <w:rPr>
          <w:rFonts w:ascii="仿宋" w:hAnsi="仿宋" w:eastAsia="仿宋"/>
          <w:b/>
          <w:sz w:val="32"/>
          <w:szCs w:val="32"/>
        </w:rPr>
      </w:pPr>
    </w:p>
    <w:p w14:paraId="1EC513DC">
      <w:pPr>
        <w:tabs>
          <w:tab w:val="right" w:pos="8306"/>
        </w:tabs>
        <w:spacing w:line="600" w:lineRule="exact"/>
        <w:ind w:firstLine="640"/>
        <w:outlineLvl w:val="1"/>
        <w:rPr>
          <w:rStyle w:val="28"/>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6D358679">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1534.32</w:t>
      </w:r>
      <w:r>
        <w:rPr>
          <w:rFonts w:hint="eastAsia" w:ascii="仿宋" w:hAnsi="仿宋" w:eastAsia="仿宋"/>
          <w:sz w:val="32"/>
          <w:szCs w:val="32"/>
        </w:rPr>
        <w:t>万元，其中：</w:t>
      </w:r>
    </w:p>
    <w:p w14:paraId="02A878D1">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1350.57</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183.75</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4F250DE">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14:paraId="2CDCE8B5">
      <w:pPr>
        <w:spacing w:line="600" w:lineRule="exact"/>
        <w:ind w:firstLine="640"/>
        <w:rPr>
          <w:rFonts w:ascii="仿宋" w:hAnsi="仿宋" w:eastAsia="仿宋"/>
          <w:b/>
          <w:sz w:val="32"/>
          <w:szCs w:val="32"/>
        </w:rPr>
      </w:pPr>
    </w:p>
    <w:p w14:paraId="49BC4C7D">
      <w:pPr>
        <w:spacing w:line="600" w:lineRule="exact"/>
        <w:ind w:firstLine="640"/>
        <w:outlineLvl w:val="1"/>
        <w:rPr>
          <w:rStyle w:val="28"/>
          <w:rFonts w:ascii="黑体" w:hAnsi="黑体" w:eastAsia="黑体"/>
          <w:b w:val="0"/>
        </w:rPr>
      </w:pPr>
      <w:bookmarkStart w:id="36" w:name="_Toc15377215"/>
      <w:bookmarkStart w:id="37"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5CB4900C">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302657A4">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10.91</w:t>
      </w:r>
      <w:r>
        <w:rPr>
          <w:rFonts w:hint="eastAsia" w:ascii="仿宋" w:hAnsi="仿宋" w:eastAsia="仿宋"/>
          <w:sz w:val="32"/>
          <w:szCs w:val="32"/>
        </w:rPr>
        <w:t>万元，完成预算</w:t>
      </w:r>
      <w:r>
        <w:rPr>
          <w:rFonts w:ascii="仿宋" w:hAnsi="仿宋" w:eastAsia="仿宋"/>
          <w:b/>
          <w:sz w:val="32"/>
          <w:szCs w:val="32"/>
        </w:rPr>
        <w:t>90.89</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sz w:val="32"/>
          <w:szCs w:val="32"/>
          <w:lang w:val="en-US" w:eastAsia="zh-CN"/>
        </w:rPr>
        <w:t>26.59</w:t>
      </w:r>
      <w:r>
        <w:rPr>
          <w:rFonts w:hint="eastAsia" w:ascii="仿宋" w:hAnsi="仿宋" w:eastAsia="仿宋"/>
          <w:sz w:val="32"/>
          <w:szCs w:val="32"/>
        </w:rPr>
        <w:t>万元，下降</w:t>
      </w:r>
      <w:r>
        <w:rPr>
          <w:rFonts w:hint="eastAsia" w:ascii="仿宋" w:hAnsi="仿宋" w:eastAsia="仿宋"/>
          <w:sz w:val="32"/>
          <w:szCs w:val="32"/>
          <w:lang w:val="en-US" w:eastAsia="zh-CN"/>
        </w:rPr>
        <w:t>71</w:t>
      </w:r>
      <w:r>
        <w:rPr>
          <w:rFonts w:hint="eastAsia" w:ascii="仿宋" w:hAnsi="仿宋" w:eastAsia="仿宋"/>
          <w:sz w:val="32"/>
          <w:szCs w:val="32"/>
        </w:rPr>
        <w:t>%。决算数与预算数持平。</w:t>
      </w:r>
    </w:p>
    <w:p w14:paraId="2E97ED43">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14:paraId="6A01FF8C">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2A8D79BD">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10.06</w:t>
      </w:r>
      <w:r>
        <w:rPr>
          <w:rFonts w:hint="eastAsia" w:ascii="仿宋" w:hAnsi="仿宋" w:eastAsia="仿宋"/>
          <w:sz w:val="32"/>
          <w:szCs w:val="32"/>
        </w:rPr>
        <w:t>万元，占</w:t>
      </w:r>
      <w:r>
        <w:rPr>
          <w:rFonts w:ascii="仿宋" w:hAnsi="仿宋" w:eastAsia="仿宋"/>
          <w:b/>
          <w:sz w:val="32"/>
          <w:szCs w:val="32"/>
        </w:rPr>
        <w:t>92.18</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0.85</w:t>
      </w:r>
      <w:r>
        <w:rPr>
          <w:rFonts w:hint="eastAsia" w:ascii="仿宋" w:hAnsi="仿宋" w:eastAsia="仿宋"/>
          <w:sz w:val="32"/>
          <w:szCs w:val="32"/>
        </w:rPr>
        <w:t>万元，占</w:t>
      </w:r>
      <w:r>
        <w:rPr>
          <w:rFonts w:ascii="仿宋" w:hAnsi="仿宋" w:eastAsia="仿宋"/>
          <w:b/>
          <w:sz w:val="32"/>
          <w:szCs w:val="32"/>
        </w:rPr>
        <w:t>7.81</w:t>
      </w:r>
      <w:r>
        <w:rPr>
          <w:rFonts w:ascii="仿宋" w:hAnsi="仿宋" w:eastAsia="仿宋"/>
          <w:sz w:val="32"/>
          <w:szCs w:val="32"/>
        </w:rPr>
        <w:t>%</w:t>
      </w:r>
      <w:r>
        <w:rPr>
          <w:rFonts w:hint="eastAsia" w:ascii="仿宋" w:hAnsi="仿宋" w:eastAsia="仿宋"/>
          <w:sz w:val="32"/>
          <w:szCs w:val="32"/>
        </w:rPr>
        <w:t>。具体情况如下：</w:t>
      </w:r>
    </w:p>
    <w:p w14:paraId="1AE2B733">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38DCB0AD">
      <w:pPr>
        <w:spacing w:line="600" w:lineRule="exact"/>
        <w:ind w:firstLine="640"/>
        <w:rPr>
          <w:rFonts w:ascii="仿宋_GB2312" w:eastAsia="仿宋_GB2312"/>
          <w:sz w:val="32"/>
          <w:szCs w:val="32"/>
        </w:rPr>
      </w:pPr>
      <w:bookmarkStart w:id="40" w:name="_Toc15396610"/>
      <w:bookmarkStart w:id="41"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人。未发生因公出国（境）费用。</w:t>
      </w:r>
    </w:p>
    <w:p w14:paraId="20F95C67">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10.06</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91.41</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公务用车购置及运行维护费支出决算比2022年度减少</w:t>
      </w:r>
      <w:r>
        <w:rPr>
          <w:rFonts w:hint="eastAsia" w:ascii="仿宋_GB2312" w:eastAsia="仿宋_GB2312"/>
          <w:sz w:val="32"/>
          <w:szCs w:val="32"/>
          <w:lang w:val="en-US" w:eastAsia="zh-CN"/>
        </w:rPr>
        <w:t>26.59</w:t>
      </w:r>
      <w:r>
        <w:rPr>
          <w:rFonts w:hint="eastAsia" w:ascii="仿宋_GB2312" w:eastAsia="仿宋_GB2312"/>
          <w:sz w:val="32"/>
          <w:szCs w:val="32"/>
        </w:rPr>
        <w:t>万元，下降</w:t>
      </w:r>
      <w:r>
        <w:rPr>
          <w:rFonts w:hint="eastAsia" w:ascii="仿宋_GB2312" w:eastAsia="仿宋_GB2312"/>
          <w:sz w:val="32"/>
          <w:szCs w:val="32"/>
          <w:lang w:val="en-US" w:eastAsia="zh-CN"/>
        </w:rPr>
        <w:t>71</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2022年按程序报废一辆执法执勤用车后采购一辆执法执勤用车，故下降幅度较大</w:t>
      </w:r>
      <w:r>
        <w:rPr>
          <w:rFonts w:hint="eastAsia" w:ascii="仿宋_GB2312" w:eastAsia="仿宋_GB2312"/>
          <w:sz w:val="32"/>
          <w:szCs w:val="32"/>
        </w:rPr>
        <w:t>。</w:t>
      </w:r>
    </w:p>
    <w:p w14:paraId="083F710F">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3</w:t>
      </w:r>
      <w:r>
        <w:rPr>
          <w:rFonts w:hint="eastAsia" w:ascii="仿宋_GB2312" w:eastAsia="仿宋_GB2312"/>
          <w:sz w:val="32"/>
          <w:szCs w:val="32"/>
        </w:rPr>
        <w:t>辆，其中：</w:t>
      </w:r>
      <w:r>
        <w:rPr>
          <w:rFonts w:hint="eastAsia" w:ascii="仿宋_GB2312" w:eastAsia="仿宋_GB2312"/>
          <w:sz w:val="32"/>
          <w:szCs w:val="32"/>
          <w:lang w:val="en-US" w:eastAsia="zh-CN"/>
        </w:rPr>
        <w:t>警</w:t>
      </w:r>
      <w:r>
        <w:rPr>
          <w:rFonts w:hint="eastAsia" w:ascii="仿宋_GB2312" w:eastAsia="仿宋_GB2312"/>
          <w:sz w:val="32"/>
          <w:szCs w:val="32"/>
        </w:rPr>
        <w:t>车</w:t>
      </w:r>
      <w:r>
        <w:rPr>
          <w:rFonts w:hint="eastAsia" w:ascii="仿宋_GB2312" w:eastAsia="仿宋_GB2312"/>
          <w:sz w:val="32"/>
          <w:szCs w:val="32"/>
          <w:lang w:val="en-US" w:eastAsia="zh-CN"/>
        </w:rPr>
        <w:t>1</w:t>
      </w:r>
      <w:r>
        <w:rPr>
          <w:rFonts w:hint="eastAsia" w:ascii="仿宋_GB2312" w:eastAsia="仿宋_GB2312"/>
          <w:sz w:val="32"/>
          <w:szCs w:val="32"/>
        </w:rPr>
        <w:t>辆、越野车</w:t>
      </w:r>
      <w:r>
        <w:rPr>
          <w:rFonts w:hint="eastAsia" w:ascii="仿宋_GB2312" w:eastAsia="仿宋_GB2312"/>
          <w:sz w:val="32"/>
          <w:szCs w:val="32"/>
          <w:lang w:val="en-US" w:eastAsia="zh-CN"/>
        </w:rPr>
        <w:t>1</w:t>
      </w:r>
      <w:r>
        <w:rPr>
          <w:rFonts w:hint="eastAsia" w:ascii="仿宋_GB2312" w:eastAsia="仿宋_GB2312"/>
          <w:sz w:val="32"/>
          <w:szCs w:val="32"/>
        </w:rPr>
        <w:t>辆、载客汽车</w:t>
      </w:r>
      <w:r>
        <w:rPr>
          <w:rFonts w:hint="eastAsia" w:ascii="仿宋_GB2312" w:eastAsia="仿宋_GB2312"/>
          <w:sz w:val="32"/>
          <w:szCs w:val="32"/>
          <w:lang w:val="en-US" w:eastAsia="zh-CN"/>
        </w:rPr>
        <w:t>1</w:t>
      </w:r>
      <w:r>
        <w:rPr>
          <w:rFonts w:hint="eastAsia" w:ascii="仿宋_GB2312" w:eastAsia="仿宋_GB2312"/>
          <w:sz w:val="32"/>
          <w:szCs w:val="32"/>
        </w:rPr>
        <w:t>辆。</w:t>
      </w:r>
    </w:p>
    <w:p w14:paraId="5CC0C65C">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10.06</w:t>
      </w:r>
      <w:r>
        <w:rPr>
          <w:rFonts w:hint="eastAsia" w:ascii="仿宋_GB2312" w:eastAsia="仿宋_GB2312"/>
          <w:sz w:val="32"/>
          <w:szCs w:val="32"/>
        </w:rPr>
        <w:t>万元。主要用于社区矫正、法律援助、普法宣传、依法治区等所需的公务用车燃料费、维修费、过路过桥费、保险费等支出。</w:t>
      </w:r>
    </w:p>
    <w:p w14:paraId="11C4C408">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0.85</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85.2%</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0.09</w:t>
      </w:r>
      <w:r>
        <w:rPr>
          <w:rFonts w:hint="eastAsia" w:ascii="仿宋_GB2312" w:eastAsia="仿宋_GB2312"/>
          <w:sz w:val="32"/>
          <w:szCs w:val="32"/>
        </w:rPr>
        <w:t>万元，增长</w:t>
      </w:r>
      <w:r>
        <w:rPr>
          <w:rFonts w:hint="eastAsia" w:ascii="仿宋_GB2312" w:eastAsia="仿宋_GB2312"/>
          <w:sz w:val="32"/>
          <w:szCs w:val="32"/>
          <w:lang w:val="en-US" w:eastAsia="zh-CN"/>
        </w:rPr>
        <w:t>11.8</w:t>
      </w:r>
      <w:r>
        <w:rPr>
          <w:rFonts w:ascii="仿宋_GB2312" w:eastAsia="仿宋_GB2312"/>
          <w:sz w:val="32"/>
          <w:szCs w:val="32"/>
        </w:rPr>
        <w:t>%</w:t>
      </w:r>
      <w:r>
        <w:rPr>
          <w:rFonts w:hint="eastAsia" w:ascii="仿宋_GB2312" w:eastAsia="仿宋_GB2312"/>
          <w:sz w:val="32"/>
          <w:szCs w:val="32"/>
        </w:rPr>
        <w:t>。主要原因是公务接待人</w:t>
      </w:r>
      <w:r>
        <w:rPr>
          <w:rFonts w:hint="eastAsia" w:ascii="仿宋_GB2312" w:eastAsia="仿宋_GB2312"/>
          <w:sz w:val="32"/>
          <w:szCs w:val="32"/>
          <w:lang w:val="en-US" w:eastAsia="zh-CN"/>
        </w:rPr>
        <w:t>数增多</w:t>
      </w:r>
      <w:r>
        <w:rPr>
          <w:rFonts w:hint="eastAsia" w:ascii="仿宋_GB2312" w:eastAsia="仿宋_GB2312"/>
          <w:sz w:val="32"/>
          <w:szCs w:val="32"/>
        </w:rPr>
        <w:t>，公务接待费用</w:t>
      </w:r>
      <w:r>
        <w:rPr>
          <w:rFonts w:hint="eastAsia" w:ascii="仿宋_GB2312" w:eastAsia="仿宋_GB2312"/>
          <w:sz w:val="32"/>
          <w:szCs w:val="32"/>
          <w:lang w:val="en-US" w:eastAsia="zh-CN"/>
        </w:rPr>
        <w:t>增加</w:t>
      </w:r>
      <w:r>
        <w:rPr>
          <w:rFonts w:hint="eastAsia" w:ascii="仿宋_GB2312" w:eastAsia="仿宋_GB2312"/>
          <w:sz w:val="32"/>
          <w:szCs w:val="32"/>
        </w:rPr>
        <w:t>。其中：</w:t>
      </w:r>
    </w:p>
    <w:p w14:paraId="54D828D8">
      <w:pPr>
        <w:spacing w:line="600" w:lineRule="exact"/>
        <w:ind w:firstLine="640"/>
        <w:rPr>
          <w:rFonts w:hint="default" w:ascii="仿宋_GB2312" w:eastAsia="仿宋_GB2312"/>
          <w:sz w:val="32"/>
          <w:szCs w:val="32"/>
          <w:lang w:val="en-US" w:eastAsia="zh-CN"/>
        </w:rPr>
      </w:pPr>
      <w:r>
        <w:rPr>
          <w:rFonts w:hint="eastAsia" w:ascii="仿宋" w:hAnsi="仿宋" w:eastAsia="仿宋"/>
          <w:b/>
          <w:sz w:val="32"/>
          <w:szCs w:val="32"/>
        </w:rPr>
        <w:t>国内公务接待支出</w:t>
      </w:r>
      <w:r>
        <w:rPr>
          <w:rFonts w:ascii="仿宋" w:hAnsi="仿宋" w:eastAsia="仿宋"/>
          <w:b/>
          <w:sz w:val="32"/>
          <w:szCs w:val="32"/>
        </w:rPr>
        <w:t>0.85</w:t>
      </w:r>
      <w:r>
        <w:rPr>
          <w:rFonts w:hint="eastAsia" w:ascii="仿宋_GB2312" w:eastAsia="仿宋_GB2312"/>
          <w:sz w:val="32"/>
          <w:szCs w:val="32"/>
        </w:rPr>
        <w:t>万元，主要用于</w:t>
      </w:r>
      <w:r>
        <w:rPr>
          <w:rFonts w:hint="eastAsia" w:ascii="仿宋_GB2312" w:eastAsia="仿宋_GB2312"/>
          <w:sz w:val="32"/>
          <w:szCs w:val="32"/>
          <w:lang w:val="en-US" w:eastAsia="zh-CN"/>
        </w:rPr>
        <w:t>考察学习、交叉检查</w:t>
      </w:r>
      <w:r>
        <w:rPr>
          <w:rFonts w:hint="eastAsia" w:ascii="仿宋_GB2312" w:eastAsia="仿宋_GB2312"/>
          <w:sz w:val="32"/>
          <w:szCs w:val="32"/>
          <w:lang w:eastAsia="zh-CN"/>
        </w:rPr>
        <w:t>、</w:t>
      </w:r>
      <w:r>
        <w:rPr>
          <w:rFonts w:hint="eastAsia" w:ascii="仿宋_GB2312" w:eastAsia="仿宋_GB2312"/>
          <w:sz w:val="32"/>
          <w:szCs w:val="32"/>
        </w:rPr>
        <w:t>业务工作调研</w:t>
      </w:r>
      <w:r>
        <w:rPr>
          <w:rFonts w:hint="eastAsia" w:ascii="仿宋_GB2312" w:eastAsia="仿宋_GB2312"/>
          <w:sz w:val="32"/>
          <w:szCs w:val="32"/>
          <w:lang w:val="en-US" w:eastAsia="zh-CN"/>
        </w:rPr>
        <w:t>等</w:t>
      </w:r>
      <w:r>
        <w:rPr>
          <w:rFonts w:hint="eastAsia" w:ascii="仿宋_GB2312" w:eastAsia="仿宋_GB2312"/>
          <w:sz w:val="32"/>
          <w:szCs w:val="32"/>
        </w:rPr>
        <w:t>开支用餐费。国内公务接待</w:t>
      </w:r>
      <w:r>
        <w:rPr>
          <w:rFonts w:hint="eastAsia" w:ascii="仿宋_GB2312" w:eastAsia="仿宋_GB2312"/>
          <w:sz w:val="32"/>
          <w:szCs w:val="32"/>
          <w:lang w:val="en-US" w:eastAsia="zh-CN"/>
        </w:rPr>
        <w:t>5</w:t>
      </w:r>
      <w:r>
        <w:rPr>
          <w:rFonts w:hint="eastAsia" w:ascii="仿宋_GB2312" w:eastAsia="仿宋_GB2312"/>
          <w:sz w:val="32"/>
          <w:szCs w:val="32"/>
        </w:rPr>
        <w:t>批次，</w:t>
      </w:r>
      <w:r>
        <w:rPr>
          <w:rFonts w:hint="eastAsia" w:ascii="仿宋_GB2312" w:eastAsia="仿宋_GB2312"/>
          <w:sz w:val="32"/>
          <w:szCs w:val="32"/>
          <w:lang w:val="en-US" w:eastAsia="zh-CN"/>
        </w:rPr>
        <w:t>67</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0.85</w:t>
      </w:r>
      <w:r>
        <w:rPr>
          <w:rFonts w:hint="eastAsia" w:ascii="仿宋_GB2312" w:eastAsia="仿宋_GB2312"/>
          <w:sz w:val="32"/>
          <w:szCs w:val="32"/>
        </w:rPr>
        <w:t>万元，具体内容包括：一是202</w:t>
      </w:r>
      <w:r>
        <w:rPr>
          <w:rFonts w:hint="eastAsia" w:ascii="仿宋_GB2312" w:eastAsia="仿宋_GB2312"/>
          <w:sz w:val="32"/>
          <w:szCs w:val="32"/>
          <w:lang w:val="en-US" w:eastAsia="zh-CN"/>
        </w:rPr>
        <w:t>3.5.15</w:t>
      </w:r>
      <w:r>
        <w:rPr>
          <w:rFonts w:hint="eastAsia" w:ascii="仿宋_GB2312" w:eastAsia="仿宋_GB2312"/>
          <w:sz w:val="32"/>
          <w:szCs w:val="32"/>
        </w:rPr>
        <w:t>省司法厅律师处、省律协、市司法局一行</w:t>
      </w:r>
      <w:r>
        <w:rPr>
          <w:rFonts w:hint="eastAsia" w:ascii="仿宋_GB2312" w:eastAsia="仿宋_GB2312"/>
          <w:sz w:val="32"/>
          <w:szCs w:val="32"/>
          <w:lang w:val="en-US" w:eastAsia="zh-CN"/>
        </w:rPr>
        <w:t>9</w:t>
      </w:r>
      <w:r>
        <w:rPr>
          <w:rFonts w:hint="eastAsia" w:ascii="仿宋_GB2312" w:eastAsia="仿宋_GB2312"/>
          <w:sz w:val="32"/>
          <w:szCs w:val="32"/>
        </w:rPr>
        <w:t>人开展社开展“两新联万村·党建助振兴”“一村一法律顾问”调研工作开支接待费</w:t>
      </w:r>
      <w:r>
        <w:rPr>
          <w:rFonts w:hint="eastAsia" w:ascii="仿宋_GB2312" w:eastAsia="仿宋_GB2312"/>
          <w:sz w:val="32"/>
          <w:szCs w:val="32"/>
          <w:lang w:val="en-US" w:eastAsia="zh-CN"/>
        </w:rPr>
        <w:t>1320</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lang w:val="en-US" w:eastAsia="zh-CN"/>
        </w:rPr>
        <w:t>二是2023.10.18省第三检查组、市司法局一行11人开展全省社区矫正档案交叉检查开支接待费1340元；三是2023.11.15重庆市永川区司法局、永川律工委、市司法局、市律师协会一行15人交流考察学习开支接待费1530元；四是省委依法治省办、市司法局一行12人开展法治政府建设督察开支接待费1640元；五是巴中市司法局、恩阳区司法局、南江县司法局、平昌县司法局一行20人巴中市评估组开展“两规划两方案”中期评估开支接待费2690元。</w:t>
      </w:r>
    </w:p>
    <w:p w14:paraId="17F21B0A">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万元。外事接待0批次，0人次（不包括陪同人员），共计支出0万元。</w:t>
      </w:r>
    </w:p>
    <w:p w14:paraId="68854CB9">
      <w:pPr>
        <w:spacing w:line="600" w:lineRule="exact"/>
        <w:ind w:firstLine="640"/>
        <w:outlineLvl w:val="1"/>
        <w:rPr>
          <w:rFonts w:ascii="黑体" w:eastAsia="黑体"/>
          <w:sz w:val="32"/>
          <w:szCs w:val="32"/>
        </w:rPr>
      </w:pPr>
    </w:p>
    <w:p w14:paraId="300FABC2">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47E04A9A">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3E64E6B9">
      <w:pPr>
        <w:spacing w:line="600" w:lineRule="exact"/>
        <w:ind w:firstLine="640"/>
        <w:rPr>
          <w:rFonts w:ascii="仿宋_GB2312" w:eastAsia="仿宋_GB2312"/>
          <w:sz w:val="32"/>
          <w:szCs w:val="32"/>
        </w:rPr>
      </w:pPr>
    </w:p>
    <w:p w14:paraId="03EC8350">
      <w:pPr>
        <w:numPr>
          <w:ilvl w:val="0"/>
          <w:numId w:val="3"/>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14:paraId="240EF79F">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118D98E8">
      <w:pPr>
        <w:spacing w:line="580" w:lineRule="exact"/>
        <w:jc w:val="center"/>
        <w:rPr>
          <w:rFonts w:ascii="方正小标宋简体" w:hAnsi="方正小标宋简体" w:eastAsia="方正小标宋简体" w:cs="方正小标宋简体"/>
          <w:sz w:val="44"/>
          <w:szCs w:val="44"/>
        </w:rPr>
      </w:pPr>
    </w:p>
    <w:p w14:paraId="22D434EF">
      <w:pPr>
        <w:numPr>
          <w:ilvl w:val="0"/>
          <w:numId w:val="3"/>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14:paraId="6DBB1AA1">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7AB3FBA8">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巴中市巴州区司法局</w:t>
      </w:r>
      <w:r>
        <w:rPr>
          <w:rFonts w:hint="eastAsia" w:ascii="仿宋_GB2312" w:eastAsia="仿宋_GB2312"/>
          <w:sz w:val="32"/>
          <w:szCs w:val="32"/>
        </w:rPr>
        <w:t>机关运行经费支出</w:t>
      </w:r>
      <w:r>
        <w:rPr>
          <w:rFonts w:ascii="仿宋" w:hAnsi="仿宋" w:eastAsia="仿宋"/>
          <w:b/>
          <w:sz w:val="32"/>
          <w:szCs w:val="32"/>
        </w:rPr>
        <w:t>183.75</w:t>
      </w:r>
      <w:r>
        <w:rPr>
          <w:rFonts w:hint="eastAsia" w:ascii="仿宋_GB2312" w:eastAsia="仿宋_GB2312"/>
          <w:sz w:val="32"/>
          <w:szCs w:val="32"/>
        </w:rPr>
        <w:t>万元，比2022年度增加</w:t>
      </w:r>
      <w:r>
        <w:rPr>
          <w:rFonts w:hint="eastAsia" w:ascii="仿宋_GB2312" w:eastAsia="仿宋_GB2312"/>
          <w:sz w:val="32"/>
          <w:szCs w:val="32"/>
          <w:lang w:val="en-US" w:eastAsia="zh-CN"/>
        </w:rPr>
        <w:t>9.8</w:t>
      </w:r>
      <w:r>
        <w:rPr>
          <w:rFonts w:hint="eastAsia" w:ascii="仿宋_GB2312" w:eastAsia="仿宋_GB2312"/>
          <w:sz w:val="32"/>
          <w:szCs w:val="32"/>
        </w:rPr>
        <w:t>万元，增长</w:t>
      </w:r>
      <w:r>
        <w:rPr>
          <w:rFonts w:hint="eastAsia" w:ascii="仿宋_GB2312" w:eastAsia="仿宋_GB2312"/>
          <w:sz w:val="32"/>
          <w:szCs w:val="32"/>
          <w:lang w:val="en-US" w:eastAsia="zh-CN"/>
        </w:rPr>
        <w:t>5.6</w:t>
      </w:r>
      <w:r>
        <w:rPr>
          <w:rFonts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与2022年度决算数持平。</w:t>
      </w:r>
    </w:p>
    <w:p w14:paraId="35C7F66D">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458F9FA3">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2B5E57FB">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巴中市巴州区司法局</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33A79607">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0E1DE137">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15CEC5A0">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巴中市巴州区司法局</w:t>
      </w:r>
      <w:r>
        <w:rPr>
          <w:rFonts w:hint="eastAsia" w:ascii="仿宋_GB2312" w:eastAsia="仿宋_GB2312"/>
          <w:sz w:val="32"/>
          <w:szCs w:val="32"/>
        </w:rPr>
        <w:t>共有车辆</w:t>
      </w:r>
      <w:r>
        <w:rPr>
          <w:rFonts w:hint="eastAsia" w:ascii="仿宋_GB2312" w:eastAsia="仿宋_GB2312"/>
          <w:b/>
          <w:sz w:val="32"/>
          <w:szCs w:val="32"/>
        </w:rPr>
        <w:t>3</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辆、执法执勤用车3辆。单价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5870F2EE">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14:paraId="696E5EE1">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134AD015">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根据预算绩效管理要求，本单位在2023年度预算编制阶段，组织对法律援助、普法宣传、社区矫正、人民调解、行政复议等</w:t>
      </w:r>
      <w:r>
        <w:rPr>
          <w:rFonts w:hint="eastAsia" w:ascii="仿宋_GB2312" w:eastAsia="仿宋_GB2312"/>
          <w:sz w:val="32"/>
          <w:szCs w:val="32"/>
          <w:lang w:val="en-US" w:eastAsia="zh-CN"/>
        </w:rPr>
        <w:t>7</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7</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7</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7</w:t>
      </w:r>
      <w:r>
        <w:rPr>
          <w:rFonts w:hint="eastAsia" w:ascii="仿宋_GB2312" w:eastAsia="仿宋_GB2312"/>
          <w:sz w:val="32"/>
          <w:szCs w:val="32"/>
        </w:rPr>
        <w:t>个项目开展绩效自评，绩效自评表详见第四部分附件。</w:t>
      </w:r>
    </w:p>
    <w:p w14:paraId="7B961F7F">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77F8B367">
      <w:pPr>
        <w:numPr>
          <w:ilvl w:val="0"/>
          <w:numId w:val="4"/>
        </w:numPr>
        <w:spacing w:line="600" w:lineRule="exact"/>
        <w:ind w:firstLine="660" w:firstLineChars="150"/>
        <w:jc w:val="center"/>
        <w:outlineLvl w:val="0"/>
        <w:rPr>
          <w:rStyle w:val="27"/>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0DE03143">
      <w:pPr>
        <w:spacing w:line="600" w:lineRule="exact"/>
        <w:jc w:val="left"/>
        <w:rPr>
          <w:rFonts w:ascii="宋体"/>
          <w:b/>
          <w:sz w:val="44"/>
          <w:szCs w:val="44"/>
        </w:rPr>
      </w:pPr>
    </w:p>
    <w:p w14:paraId="0C8898E2">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1E70D382">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3FF5C3C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3BA41564">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0679DE4D">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23D6EC95">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09165107">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3DEDA02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1CB8B788">
      <w:pPr>
        <w:ind w:firstLine="640" w:firstLineChars="200"/>
        <w:rPr>
          <w:rFonts w:hint="eastAsia" w:ascii="仿宋_GB2312" w:eastAsia="仿宋_GB2312"/>
          <w:sz w:val="32"/>
          <w:szCs w:val="32"/>
        </w:rPr>
      </w:pPr>
      <w:r>
        <w:rPr>
          <w:rFonts w:hint="eastAsia" w:ascii="仿宋_GB2312" w:eastAsia="仿宋_GB2312"/>
          <w:sz w:val="32"/>
          <w:szCs w:val="32"/>
        </w:rPr>
        <w:t>9. 公共安全支出（类）司法（款）行政运行（项）:指行政单位（包括实行公务员管理的事业单位）的基本支出。</w:t>
      </w:r>
    </w:p>
    <w:p w14:paraId="2D493A83">
      <w:pPr>
        <w:ind w:firstLine="640" w:firstLineChars="200"/>
        <w:rPr>
          <w:rFonts w:hint="eastAsia" w:ascii="仿宋_GB2312" w:eastAsia="仿宋_GB2312"/>
          <w:sz w:val="32"/>
          <w:szCs w:val="32"/>
        </w:rPr>
      </w:pPr>
      <w:r>
        <w:rPr>
          <w:rFonts w:hint="eastAsia" w:ascii="仿宋_GB2312" w:eastAsia="仿宋_GB2312"/>
          <w:sz w:val="32"/>
          <w:szCs w:val="32"/>
        </w:rPr>
        <w:t>10.公共安全支出（类）司法（款）一般行政管理事务（项）:指行政单位（包括实行公务员管理的事业单位）未单独设置项级科目的其他项目支出。</w:t>
      </w:r>
    </w:p>
    <w:p w14:paraId="5C25A1BA">
      <w:pPr>
        <w:ind w:firstLine="640" w:firstLineChars="200"/>
        <w:rPr>
          <w:rFonts w:hint="eastAsia" w:ascii="仿宋_GB2312" w:eastAsia="仿宋_GB2312"/>
          <w:sz w:val="32"/>
          <w:szCs w:val="32"/>
        </w:rPr>
      </w:pPr>
      <w:r>
        <w:rPr>
          <w:rFonts w:hint="eastAsia" w:ascii="仿宋_GB2312" w:eastAsia="仿宋_GB2312"/>
          <w:sz w:val="32"/>
          <w:szCs w:val="32"/>
        </w:rPr>
        <w:t>11.公共安全支出（类）司法（款）基层司法业务（项）:指各级司法行政部门用于基层业务支出，包括基层工作指导费、调解费、安置帮教费、司法所经费等支出。</w:t>
      </w:r>
    </w:p>
    <w:p w14:paraId="0ABDBFB1">
      <w:pPr>
        <w:ind w:firstLine="640" w:firstLineChars="200"/>
        <w:rPr>
          <w:rFonts w:hint="eastAsia" w:ascii="仿宋_GB2312" w:eastAsia="仿宋_GB2312"/>
          <w:sz w:val="32"/>
          <w:szCs w:val="32"/>
        </w:rPr>
      </w:pPr>
      <w:r>
        <w:rPr>
          <w:rFonts w:hint="eastAsia" w:ascii="仿宋_GB2312" w:eastAsia="仿宋_GB2312"/>
          <w:sz w:val="32"/>
          <w:szCs w:val="32"/>
        </w:rPr>
        <w:t xml:space="preserve">12.公共安全支出（类）司法（款）普法宣传（项）:指各级司法行政部门用于组织各种媒体的宣传、普法装备与设施、宣传资料、对外宣传、法制作品的审读评审等方面的支出。 </w:t>
      </w:r>
    </w:p>
    <w:p w14:paraId="5A014F6D">
      <w:pPr>
        <w:ind w:firstLine="640" w:firstLineChars="200"/>
        <w:rPr>
          <w:rFonts w:hint="eastAsia" w:ascii="仿宋_GB2312" w:eastAsia="仿宋_GB2312"/>
          <w:sz w:val="32"/>
          <w:szCs w:val="32"/>
        </w:rPr>
      </w:pPr>
      <w:r>
        <w:rPr>
          <w:rFonts w:hint="eastAsia" w:ascii="仿宋_GB2312" w:eastAsia="仿宋_GB2312"/>
          <w:sz w:val="32"/>
          <w:szCs w:val="32"/>
        </w:rPr>
        <w:t>13.公共安全支出（类）司法（款）律师公证管理（项）:指各级司法行政部门用于指导律师公证工作的支出和对享受财政补助的律师事务所、公证处等单位的补助。</w:t>
      </w:r>
    </w:p>
    <w:p w14:paraId="4225AE13">
      <w:pPr>
        <w:ind w:firstLine="640" w:firstLineChars="200"/>
        <w:rPr>
          <w:rFonts w:hint="eastAsia" w:ascii="仿宋_GB2312" w:eastAsia="仿宋_GB2312"/>
          <w:sz w:val="32"/>
          <w:szCs w:val="32"/>
        </w:rPr>
      </w:pPr>
      <w:r>
        <w:rPr>
          <w:rFonts w:hint="eastAsia" w:ascii="仿宋_GB2312" w:eastAsia="仿宋_GB2312"/>
          <w:sz w:val="32"/>
          <w:szCs w:val="32"/>
        </w:rPr>
        <w:t>14.公共安全支出（类）司法（款）法律援助（项）:指各级法律援助机构用于开展法律援助工作的支出。</w:t>
      </w:r>
    </w:p>
    <w:p w14:paraId="6AC8A33D">
      <w:pPr>
        <w:ind w:firstLine="640" w:firstLineChars="200"/>
        <w:rPr>
          <w:rFonts w:hint="eastAsia" w:ascii="仿宋_GB2312" w:eastAsia="仿宋_GB2312"/>
          <w:sz w:val="32"/>
          <w:szCs w:val="32"/>
        </w:rPr>
      </w:pPr>
      <w:r>
        <w:rPr>
          <w:rFonts w:hint="eastAsia" w:ascii="仿宋_GB2312" w:eastAsia="仿宋_GB2312"/>
          <w:sz w:val="32"/>
          <w:szCs w:val="32"/>
        </w:rPr>
        <w:t>15.公共安全支出（类）司法（款）社区矫正（项）:指各级司法行政部门用于社区矫正的支出。</w:t>
      </w:r>
    </w:p>
    <w:p w14:paraId="17638091">
      <w:pPr>
        <w:ind w:firstLine="640" w:firstLineChars="200"/>
        <w:rPr>
          <w:rFonts w:hint="eastAsia" w:ascii="仿宋_GB2312" w:eastAsia="仿宋_GB2312"/>
          <w:sz w:val="32"/>
          <w:szCs w:val="32"/>
        </w:rPr>
      </w:pPr>
      <w:r>
        <w:rPr>
          <w:rFonts w:hint="eastAsia" w:ascii="仿宋_GB2312" w:eastAsia="仿宋_GB2312"/>
          <w:sz w:val="32"/>
          <w:szCs w:val="32"/>
        </w:rPr>
        <w:t>16.公共安全支出（类）其他公共安全支出（款）其他公共安全支出（项）:指除上述项目以外其他用于公共安全方面的支出。</w:t>
      </w:r>
    </w:p>
    <w:p w14:paraId="2287E8CC">
      <w:pPr>
        <w:ind w:firstLine="640" w:firstLineChars="200"/>
        <w:rPr>
          <w:rFonts w:hint="eastAsia" w:ascii="仿宋_GB2312" w:eastAsia="仿宋_GB2312"/>
          <w:sz w:val="32"/>
          <w:szCs w:val="32"/>
        </w:rPr>
      </w:pPr>
      <w:r>
        <w:rPr>
          <w:rFonts w:hint="eastAsia" w:ascii="仿宋_GB2312" w:eastAsia="仿宋_GB2312"/>
          <w:sz w:val="32"/>
          <w:szCs w:val="32"/>
        </w:rPr>
        <w:t>17.社会保障和就业支出（类）行政事业单位离退休（款）机关事业单位基本养老保险缴费支出（项）：指机关事业单位实施养老保险制度由单位缴纳的基本养老保险费支出。</w:t>
      </w:r>
    </w:p>
    <w:p w14:paraId="203E2E13">
      <w:pPr>
        <w:ind w:firstLine="640" w:firstLineChars="200"/>
        <w:rPr>
          <w:rFonts w:hint="eastAsia" w:ascii="仿宋_GB2312" w:eastAsia="仿宋_GB2312"/>
          <w:sz w:val="32"/>
          <w:szCs w:val="32"/>
        </w:rPr>
      </w:pPr>
      <w:r>
        <w:rPr>
          <w:rFonts w:hint="eastAsia" w:ascii="仿宋_GB2312" w:eastAsia="仿宋_GB2312"/>
          <w:sz w:val="32"/>
          <w:szCs w:val="32"/>
        </w:rPr>
        <w:t>18.社会保障和就业支出（类）行政事业单位离退休（款）机关事业单位职业年金缴费支出（项）：指机关事业单位实施养老保险制度由单位实际缴纳的职业年金支出。</w:t>
      </w:r>
    </w:p>
    <w:p w14:paraId="137A731D">
      <w:pPr>
        <w:ind w:firstLine="640" w:firstLineChars="200"/>
        <w:rPr>
          <w:rFonts w:hint="eastAsia" w:ascii="仿宋_GB2312" w:eastAsia="仿宋_GB2312"/>
          <w:sz w:val="32"/>
          <w:szCs w:val="32"/>
        </w:rPr>
      </w:pPr>
      <w:r>
        <w:rPr>
          <w:rFonts w:hint="eastAsia" w:ascii="仿宋_GB2312" w:eastAsia="仿宋_GB2312"/>
          <w:sz w:val="32"/>
          <w:szCs w:val="32"/>
        </w:rPr>
        <w:t>19.医疗卫生与计划生育支出（类）行政事业单位医疗（款）行政单位医疗（项）:指财政部门集中安排的行政单位基本医疗保险缴费经费。</w:t>
      </w:r>
    </w:p>
    <w:p w14:paraId="20345BB3">
      <w:pPr>
        <w:ind w:firstLine="640" w:firstLineChars="200"/>
        <w:rPr>
          <w:rFonts w:hint="eastAsia" w:ascii="仿宋_GB2312" w:eastAsia="仿宋_GB2312"/>
          <w:sz w:val="32"/>
          <w:szCs w:val="32"/>
        </w:rPr>
      </w:pPr>
      <w:r>
        <w:rPr>
          <w:rFonts w:hint="eastAsia" w:ascii="仿宋_GB2312" w:eastAsia="仿宋_GB2312"/>
          <w:sz w:val="32"/>
          <w:szCs w:val="32"/>
        </w:rPr>
        <w:t>20.医疗卫生与计划生育支出（类）行政事业单位医疗（款）事业单位医疗（项）:指财政部门集中安排的事业单位基本医疗保险缴费经费。</w:t>
      </w:r>
    </w:p>
    <w:p w14:paraId="45D93F22">
      <w:pPr>
        <w:ind w:firstLine="640" w:firstLineChars="200"/>
        <w:rPr>
          <w:rFonts w:ascii="仿宋_GB2312" w:eastAsia="仿宋_GB2312"/>
          <w:sz w:val="32"/>
          <w:szCs w:val="32"/>
        </w:rPr>
      </w:pPr>
      <w:r>
        <w:rPr>
          <w:rFonts w:hint="eastAsia" w:ascii="仿宋_GB2312" w:eastAsia="仿宋_GB2312"/>
          <w:sz w:val="32"/>
          <w:szCs w:val="32"/>
        </w:rPr>
        <w:t>21. 住房保障支出（类）住房改革支出（款）住房公积金（项）:指行政事业单位按人力资源和社会保障部、财政部规定的基本工资和津贴补贴以及规定比例为职工缴纳的住房公积金。</w:t>
      </w:r>
    </w:p>
    <w:p w14:paraId="6947898E">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（解释本单位决算报表中涉及的全部功能分类科目至项级，不涉及的科目请自行删除。请参照《2023年政府收支分类科目》增减内容。）</w:t>
      </w:r>
    </w:p>
    <w:p w14:paraId="1BAEFE2F">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14:paraId="65D1B76B">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15676C9F">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14:paraId="0A8DDFBE">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C34570B">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F1DD06C">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32.</w:t>
      </w:r>
      <w:r>
        <w:rPr>
          <w:rFonts w:hint="eastAsia" w:ascii="仿宋_GB2312" w:eastAsia="仿宋_GB2312"/>
          <w:color w:val="auto"/>
          <w:sz w:val="32"/>
          <w:szCs w:val="32"/>
        </w:rPr>
        <w:t>……。</w:t>
      </w:r>
    </w:p>
    <w:p w14:paraId="5217CEFD">
      <w:pPr>
        <w:pStyle w:val="25"/>
        <w:spacing w:line="560" w:lineRule="exact"/>
        <w:ind w:firstLine="640" w:firstLineChars="200"/>
        <w:rPr>
          <w:rFonts w:ascii="仿宋_GB2312" w:eastAsia="仿宋_GB2312" w:cs="黑体"/>
          <w:color w:val="auto"/>
          <w:sz w:val="32"/>
          <w:szCs w:val="32"/>
        </w:rPr>
      </w:pPr>
    </w:p>
    <w:p w14:paraId="45BF92DD">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14:paraId="75DADA69">
      <w:pPr>
        <w:spacing w:line="600" w:lineRule="exact"/>
        <w:jc w:val="center"/>
        <w:outlineLvl w:val="0"/>
        <w:rPr>
          <w:rFonts w:ascii="仿宋_GB2312" w:hAnsi="仿宋_GB2312" w:eastAsia="仿宋_GB2312" w:cs="仿宋_GB2312"/>
          <w:sz w:val="32"/>
          <w:szCs w:val="32"/>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tbl>
      <w:tblPr>
        <w:tblStyle w:val="14"/>
        <w:tblpPr w:leftFromText="180" w:rightFromText="180" w:vertAnchor="text" w:horzAnchor="page" w:tblpX="1155" w:tblpY="573"/>
        <w:tblOverlap w:val="never"/>
        <w:tblW w:w="9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9"/>
        <w:gridCol w:w="1317"/>
        <w:gridCol w:w="1147"/>
        <w:gridCol w:w="1438"/>
        <w:gridCol w:w="411"/>
        <w:gridCol w:w="1089"/>
        <w:gridCol w:w="428"/>
        <w:gridCol w:w="881"/>
        <w:gridCol w:w="504"/>
        <w:gridCol w:w="486"/>
        <w:gridCol w:w="1680"/>
      </w:tblGrid>
      <w:tr w14:paraId="581C6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99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26D2400">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53" w:name="_Toc15396618"/>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C1BC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6FA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653D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51190221T000000167876-人民调解经费</w:t>
            </w:r>
          </w:p>
        </w:tc>
      </w:tr>
      <w:tr w14:paraId="636A1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785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5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177F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司法局</w:t>
            </w:r>
          </w:p>
        </w:tc>
        <w:tc>
          <w:tcPr>
            <w:tcW w:w="882" w:type="dxa"/>
            <w:tcBorders>
              <w:top w:val="nil"/>
              <w:left w:val="nil"/>
              <w:bottom w:val="nil"/>
              <w:right w:val="nil"/>
            </w:tcBorders>
            <w:shd w:val="clear" w:color="auto" w:fill="auto"/>
            <w:vAlign w:val="center"/>
          </w:tcPr>
          <w:p w14:paraId="4445C274">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8DBF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巴中市巴州区司法局</w:t>
            </w:r>
          </w:p>
        </w:tc>
      </w:tr>
      <w:tr w14:paraId="76272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508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9DE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5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A4FF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CBC95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6A2E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74840">
            <w:pPr>
              <w:rPr>
                <w:rFonts w:hint="eastAsia" w:ascii="宋体" w:hAnsi="宋体" w:eastAsia="宋体" w:cs="宋体"/>
                <w:i w:val="0"/>
                <w:iCs w:val="0"/>
                <w:color w:val="000000"/>
                <w:sz w:val="18"/>
                <w:szCs w:val="18"/>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662A1">
            <w:pPr>
              <w:rPr>
                <w:rFonts w:hint="eastAsia" w:ascii="宋体" w:hAnsi="宋体" w:eastAsia="宋体" w:cs="宋体"/>
                <w:i w:val="0"/>
                <w:iCs w:val="0"/>
                <w:color w:val="000000"/>
                <w:sz w:val="18"/>
                <w:szCs w:val="18"/>
                <w:u w:val="none"/>
              </w:rPr>
            </w:pPr>
          </w:p>
        </w:tc>
        <w:tc>
          <w:tcPr>
            <w:tcW w:w="45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8416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保障人民群众生命财产安全；有效维护社会稳定；加大人民调解“以奖代补”案件补助发放力度，调动人民调解员的积极性。</w:t>
            </w:r>
          </w:p>
        </w:tc>
        <w:tc>
          <w:tcPr>
            <w:tcW w:w="35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46660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起底规范乡村调解组织318个、行专调解组织18个，调处各类矛盾纠纷1204件，调解成功率达98.38%。</w:t>
            </w:r>
          </w:p>
        </w:tc>
      </w:tr>
      <w:tr w14:paraId="108C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CEF18">
            <w:pPr>
              <w:rPr>
                <w:rFonts w:hint="eastAsia" w:ascii="宋体" w:hAnsi="宋体" w:eastAsia="宋体" w:cs="宋体"/>
                <w:i w:val="0"/>
                <w:iCs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DD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4861C5">
            <w:pPr>
              <w:rPr>
                <w:rFonts w:hint="eastAsia" w:ascii="宋体" w:hAnsi="宋体" w:eastAsia="宋体" w:cs="宋体"/>
                <w:i w:val="0"/>
                <w:iCs w:val="0"/>
                <w:color w:val="000000"/>
                <w:sz w:val="18"/>
                <w:szCs w:val="18"/>
                <w:u w:val="none"/>
              </w:rPr>
            </w:pPr>
          </w:p>
        </w:tc>
      </w:tr>
      <w:tr w14:paraId="5A5D1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B5F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CB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5C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AD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976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AC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50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4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C0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DE27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18B52">
            <w:pPr>
              <w:jc w:val="center"/>
              <w:rPr>
                <w:rFonts w:hint="eastAsia" w:ascii="宋体" w:hAnsi="宋体" w:eastAsia="宋体" w:cs="宋体"/>
                <w:i w:val="0"/>
                <w:iCs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10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82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B3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1AB0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8B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E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2DDA">
            <w:pPr>
              <w:jc w:val="center"/>
              <w:rPr>
                <w:rFonts w:hint="eastAsia" w:ascii="宋体" w:hAnsi="宋体" w:eastAsia="宋体" w:cs="宋体"/>
                <w:i w:val="0"/>
                <w:iCs w:val="0"/>
                <w:color w:val="000000"/>
                <w:sz w:val="18"/>
                <w:szCs w:val="18"/>
                <w:u w:val="none"/>
              </w:rPr>
            </w:pP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95E746">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7FB57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9EC29">
            <w:pPr>
              <w:jc w:val="center"/>
              <w:rPr>
                <w:rFonts w:hint="eastAsia" w:ascii="宋体" w:hAnsi="宋体" w:eastAsia="宋体" w:cs="宋体"/>
                <w:i w:val="0"/>
                <w:iCs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8C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30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9B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AA18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E8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D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1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CDE20">
            <w:pPr>
              <w:rPr>
                <w:rFonts w:hint="eastAsia" w:ascii="黑体" w:hAnsi="黑体" w:eastAsia="黑体" w:cs="黑体"/>
                <w:i/>
                <w:iCs/>
                <w:color w:val="000000"/>
                <w:sz w:val="18"/>
                <w:szCs w:val="18"/>
                <w:u w:val="none"/>
              </w:rPr>
            </w:pPr>
          </w:p>
        </w:tc>
      </w:tr>
      <w:tr w14:paraId="0015B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866CC">
            <w:pPr>
              <w:jc w:val="center"/>
              <w:rPr>
                <w:rFonts w:hint="eastAsia" w:ascii="宋体" w:hAnsi="宋体" w:eastAsia="宋体" w:cs="宋体"/>
                <w:i w:val="0"/>
                <w:iCs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C5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4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A3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FC3D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4E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5A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84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D4003">
            <w:pPr>
              <w:rPr>
                <w:rFonts w:hint="eastAsia" w:ascii="黑体" w:hAnsi="黑体" w:eastAsia="黑体" w:cs="黑体"/>
                <w:i/>
                <w:iCs/>
                <w:color w:val="000000"/>
                <w:sz w:val="18"/>
                <w:szCs w:val="18"/>
                <w:u w:val="none"/>
              </w:rPr>
            </w:pPr>
          </w:p>
        </w:tc>
      </w:tr>
      <w:tr w14:paraId="7E30B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57256">
            <w:pPr>
              <w:jc w:val="center"/>
              <w:rPr>
                <w:rFonts w:hint="eastAsia" w:ascii="宋体" w:hAnsi="宋体" w:eastAsia="宋体" w:cs="宋体"/>
                <w:i w:val="0"/>
                <w:iCs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35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0F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9C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D63E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3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F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AD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43A94">
            <w:pPr>
              <w:rPr>
                <w:rFonts w:hint="eastAsia" w:ascii="黑体" w:hAnsi="黑体" w:eastAsia="黑体" w:cs="黑体"/>
                <w:i/>
                <w:iCs/>
                <w:color w:val="000000"/>
                <w:sz w:val="18"/>
                <w:szCs w:val="18"/>
                <w:u w:val="none"/>
              </w:rPr>
            </w:pPr>
          </w:p>
        </w:tc>
      </w:tr>
      <w:tr w14:paraId="1A1F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4"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2CF9B">
            <w:pPr>
              <w:jc w:val="center"/>
              <w:rPr>
                <w:rFonts w:hint="eastAsia" w:ascii="宋体" w:hAnsi="宋体" w:eastAsia="宋体" w:cs="宋体"/>
                <w:i w:val="0"/>
                <w:iCs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57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89F5">
            <w:pPr>
              <w:jc w:val="center"/>
              <w:rPr>
                <w:rFonts w:hint="eastAsia" w:ascii="微软雅黑" w:hAnsi="微软雅黑" w:eastAsia="微软雅黑" w:cs="微软雅黑"/>
                <w:i/>
                <w:iCs/>
                <w:color w:val="000000"/>
                <w:sz w:val="16"/>
                <w:szCs w:val="16"/>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EA18">
            <w:pPr>
              <w:jc w:val="center"/>
              <w:rPr>
                <w:rFonts w:hint="eastAsia" w:ascii="微软雅黑" w:hAnsi="微软雅黑" w:eastAsia="微软雅黑" w:cs="微软雅黑"/>
                <w:i/>
                <w:iCs/>
                <w:color w:val="000000"/>
                <w:sz w:val="16"/>
                <w:szCs w:val="16"/>
                <w:u w:val="none"/>
              </w:rPr>
            </w:pPr>
          </w:p>
        </w:tc>
        <w:tc>
          <w:tcPr>
            <w:tcW w:w="1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FA26ED">
            <w:pPr>
              <w:jc w:val="center"/>
              <w:rPr>
                <w:rFonts w:hint="eastAsia" w:ascii="微软雅黑" w:hAnsi="微软雅黑" w:eastAsia="微软雅黑" w:cs="微软雅黑"/>
                <w:i/>
                <w:iCs/>
                <w:color w:val="000000"/>
                <w:sz w:val="16"/>
                <w:szCs w:val="16"/>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4A7B">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E8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6C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2A381">
            <w:pPr>
              <w:rPr>
                <w:rFonts w:hint="eastAsia" w:ascii="黑体" w:hAnsi="黑体" w:eastAsia="黑体" w:cs="黑体"/>
                <w:i/>
                <w:iCs/>
                <w:color w:val="000000"/>
                <w:sz w:val="18"/>
                <w:szCs w:val="18"/>
                <w:u w:val="none"/>
              </w:rPr>
            </w:pPr>
          </w:p>
        </w:tc>
      </w:tr>
      <w:tr w14:paraId="67234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1"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E19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5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36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27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C7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46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43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89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74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63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19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AFCF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18831">
            <w:pPr>
              <w:jc w:val="center"/>
              <w:rPr>
                <w:rFonts w:hint="eastAsia" w:ascii="宋体" w:hAnsi="宋体" w:eastAsia="宋体" w:cs="宋体"/>
                <w:i w:val="0"/>
                <w:iCs w:val="0"/>
                <w:color w:val="000000"/>
                <w:sz w:val="18"/>
                <w:szCs w:val="18"/>
                <w:u w:val="none"/>
              </w:rPr>
            </w:pP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B6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DE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0B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人民调解案件件数</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9D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133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6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件</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6D6D">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1204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C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38CA">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2470">
            <w:pPr>
              <w:jc w:val="center"/>
              <w:rPr>
                <w:rFonts w:hint="eastAsia" w:ascii="微软雅黑" w:hAnsi="微软雅黑" w:eastAsia="微软雅黑" w:cs="微软雅黑"/>
                <w:i/>
                <w:iCs/>
                <w:color w:val="000000"/>
                <w:sz w:val="16"/>
                <w:szCs w:val="16"/>
                <w:u w:val="none"/>
              </w:rPr>
            </w:pPr>
          </w:p>
        </w:tc>
      </w:tr>
      <w:tr w14:paraId="6243D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E900B">
            <w:pPr>
              <w:jc w:val="center"/>
              <w:rPr>
                <w:rFonts w:hint="eastAsia" w:ascii="宋体" w:hAnsi="宋体" w:eastAsia="宋体" w:cs="宋体"/>
                <w:i w:val="0"/>
                <w:iCs w:val="0"/>
                <w:color w:val="000000"/>
                <w:sz w:val="18"/>
                <w:szCs w:val="18"/>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C8201">
            <w:pPr>
              <w:jc w:val="center"/>
              <w:rPr>
                <w:rFonts w:hint="eastAsia" w:ascii="宋体" w:hAnsi="宋体" w:eastAsia="宋体" w:cs="宋体"/>
                <w:i w:val="0"/>
                <w:iCs w:val="0"/>
                <w:color w:val="000000"/>
                <w:sz w:val="18"/>
                <w:szCs w:val="18"/>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20CA9">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C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人民调解培训</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2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8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1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94E8">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1920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1E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2902">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CA0E">
            <w:pPr>
              <w:jc w:val="center"/>
              <w:rPr>
                <w:rFonts w:hint="eastAsia" w:ascii="微软雅黑" w:hAnsi="微软雅黑" w:eastAsia="微软雅黑" w:cs="微软雅黑"/>
                <w:i/>
                <w:iCs/>
                <w:color w:val="000000"/>
                <w:sz w:val="16"/>
                <w:szCs w:val="16"/>
                <w:u w:val="none"/>
              </w:rPr>
            </w:pPr>
          </w:p>
        </w:tc>
      </w:tr>
      <w:tr w14:paraId="1C76F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66805">
            <w:pPr>
              <w:jc w:val="center"/>
              <w:rPr>
                <w:rFonts w:hint="eastAsia" w:ascii="宋体" w:hAnsi="宋体" w:eastAsia="宋体" w:cs="宋体"/>
                <w:i w:val="0"/>
                <w:iCs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8C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4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E4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维护社会稳定</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E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E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67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A15F">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7E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A748">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3B38">
            <w:pPr>
              <w:jc w:val="center"/>
              <w:rPr>
                <w:rFonts w:hint="eastAsia" w:ascii="微软雅黑" w:hAnsi="微软雅黑" w:eastAsia="微软雅黑" w:cs="微软雅黑"/>
                <w:i/>
                <w:iCs/>
                <w:color w:val="000000"/>
                <w:sz w:val="16"/>
                <w:szCs w:val="16"/>
                <w:u w:val="none"/>
              </w:rPr>
            </w:pPr>
          </w:p>
        </w:tc>
      </w:tr>
      <w:tr w14:paraId="566EF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65248">
            <w:pPr>
              <w:jc w:val="center"/>
              <w:rPr>
                <w:rFonts w:hint="eastAsia" w:ascii="宋体" w:hAnsi="宋体" w:eastAsia="宋体" w:cs="宋体"/>
                <w:i w:val="0"/>
                <w:iCs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B7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E7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1C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4A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5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E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20BA">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E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D4AF">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2276">
            <w:pPr>
              <w:jc w:val="center"/>
              <w:rPr>
                <w:rFonts w:hint="eastAsia" w:ascii="微软雅黑" w:hAnsi="微软雅黑" w:eastAsia="微软雅黑" w:cs="微软雅黑"/>
                <w:i/>
                <w:iCs/>
                <w:color w:val="000000"/>
                <w:sz w:val="16"/>
                <w:szCs w:val="16"/>
                <w:u w:val="none"/>
              </w:rPr>
            </w:pPr>
          </w:p>
        </w:tc>
      </w:tr>
      <w:tr w14:paraId="4A6D6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73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9D05D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3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1A71">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141B">
            <w:pPr>
              <w:rPr>
                <w:rFonts w:hint="eastAsia" w:ascii="宋体" w:hAnsi="宋体" w:eastAsia="宋体" w:cs="宋体"/>
                <w:i w:val="0"/>
                <w:iCs w:val="0"/>
                <w:color w:val="000000"/>
                <w:sz w:val="18"/>
                <w:szCs w:val="18"/>
                <w:u w:val="none"/>
              </w:rPr>
            </w:pPr>
          </w:p>
        </w:tc>
      </w:tr>
      <w:tr w14:paraId="52D63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6D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3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736BA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项目自评总分为100分，</w:t>
            </w:r>
            <w:r>
              <w:rPr>
                <w:rFonts w:hint="eastAsia" w:ascii="微软雅黑" w:hAnsi="微软雅黑" w:eastAsia="微软雅黑" w:cs="微软雅黑"/>
                <w:i/>
                <w:iCs/>
                <w:color w:val="000000"/>
                <w:kern w:val="0"/>
                <w:sz w:val="16"/>
                <w:szCs w:val="16"/>
                <w:u w:val="none"/>
                <w:lang w:val="en-US" w:eastAsia="zh-CN" w:bidi="ar"/>
              </w:rPr>
              <w:t>维护稳定坚强有力。</w:t>
            </w:r>
          </w:p>
        </w:tc>
      </w:tr>
      <w:tr w14:paraId="6578B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E0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3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200D8B">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无</w:t>
            </w:r>
          </w:p>
        </w:tc>
      </w:tr>
      <w:tr w14:paraId="448CA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CA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3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5535D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353F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9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51AD2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0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BEA72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2637B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599" w:type="dxa"/>
            <w:tcBorders>
              <w:top w:val="nil"/>
              <w:left w:val="nil"/>
              <w:bottom w:val="nil"/>
              <w:right w:val="nil"/>
            </w:tcBorders>
            <w:shd w:val="clear" w:color="auto" w:fill="auto"/>
            <w:vAlign w:val="center"/>
          </w:tcPr>
          <w:p w14:paraId="15670039">
            <w:pPr>
              <w:rPr>
                <w:rFonts w:hint="eastAsia" w:ascii="宋体" w:hAnsi="宋体" w:eastAsia="宋体" w:cs="宋体"/>
                <w:i w:val="0"/>
                <w:iCs w:val="0"/>
                <w:color w:val="000000"/>
                <w:sz w:val="18"/>
                <w:szCs w:val="18"/>
                <w:u w:val="none"/>
              </w:rPr>
            </w:pPr>
          </w:p>
        </w:tc>
        <w:tc>
          <w:tcPr>
            <w:tcW w:w="1331" w:type="dxa"/>
            <w:tcBorders>
              <w:top w:val="nil"/>
              <w:left w:val="nil"/>
              <w:bottom w:val="nil"/>
              <w:right w:val="nil"/>
            </w:tcBorders>
            <w:shd w:val="clear" w:color="auto" w:fill="auto"/>
            <w:vAlign w:val="center"/>
          </w:tcPr>
          <w:p w14:paraId="3687A70B">
            <w:pPr>
              <w:rPr>
                <w:rFonts w:hint="eastAsia" w:ascii="宋体" w:hAnsi="宋体" w:eastAsia="宋体" w:cs="宋体"/>
                <w:i w:val="0"/>
                <w:iCs w:val="0"/>
                <w:color w:val="000000"/>
                <w:sz w:val="18"/>
                <w:szCs w:val="18"/>
                <w:u w:val="none"/>
              </w:rPr>
            </w:pPr>
          </w:p>
        </w:tc>
        <w:tc>
          <w:tcPr>
            <w:tcW w:w="1157" w:type="dxa"/>
            <w:tcBorders>
              <w:top w:val="nil"/>
              <w:left w:val="nil"/>
              <w:bottom w:val="nil"/>
              <w:right w:val="nil"/>
            </w:tcBorders>
            <w:shd w:val="clear" w:color="auto" w:fill="auto"/>
            <w:vAlign w:val="center"/>
          </w:tcPr>
          <w:p w14:paraId="5CFCE2D4">
            <w:pPr>
              <w:rPr>
                <w:rFonts w:hint="eastAsia" w:ascii="宋体" w:hAnsi="宋体" w:eastAsia="宋体" w:cs="宋体"/>
                <w:i w:val="0"/>
                <w:iCs w:val="0"/>
                <w:color w:val="000000"/>
                <w:sz w:val="18"/>
                <w:szCs w:val="18"/>
                <w:u w:val="none"/>
              </w:rPr>
            </w:pPr>
          </w:p>
        </w:tc>
        <w:tc>
          <w:tcPr>
            <w:tcW w:w="1454" w:type="dxa"/>
            <w:tcBorders>
              <w:top w:val="nil"/>
              <w:left w:val="nil"/>
              <w:bottom w:val="nil"/>
              <w:right w:val="nil"/>
            </w:tcBorders>
            <w:shd w:val="clear" w:color="auto" w:fill="auto"/>
            <w:vAlign w:val="center"/>
          </w:tcPr>
          <w:p w14:paraId="6E4043AD">
            <w:pPr>
              <w:rPr>
                <w:rFonts w:hint="eastAsia" w:ascii="宋体" w:hAnsi="宋体" w:eastAsia="宋体" w:cs="宋体"/>
                <w:i w:val="0"/>
                <w:iCs w:val="0"/>
                <w:color w:val="000000"/>
                <w:sz w:val="18"/>
                <w:szCs w:val="18"/>
                <w:u w:val="none"/>
              </w:rPr>
            </w:pPr>
          </w:p>
        </w:tc>
        <w:tc>
          <w:tcPr>
            <w:tcW w:w="411" w:type="dxa"/>
            <w:tcBorders>
              <w:top w:val="nil"/>
              <w:left w:val="nil"/>
              <w:bottom w:val="nil"/>
              <w:right w:val="nil"/>
            </w:tcBorders>
            <w:shd w:val="clear" w:color="auto" w:fill="auto"/>
            <w:vAlign w:val="center"/>
          </w:tcPr>
          <w:p w14:paraId="6582005A">
            <w:pPr>
              <w:rPr>
                <w:rFonts w:hint="eastAsia" w:ascii="宋体" w:hAnsi="宋体" w:eastAsia="宋体" w:cs="宋体"/>
                <w:i w:val="0"/>
                <w:iCs w:val="0"/>
                <w:color w:val="000000"/>
                <w:sz w:val="18"/>
                <w:szCs w:val="18"/>
                <w:u w:val="none"/>
              </w:rPr>
            </w:pPr>
          </w:p>
        </w:tc>
        <w:tc>
          <w:tcPr>
            <w:tcW w:w="1098" w:type="dxa"/>
            <w:tcBorders>
              <w:top w:val="nil"/>
              <w:left w:val="nil"/>
              <w:bottom w:val="nil"/>
              <w:right w:val="nil"/>
            </w:tcBorders>
            <w:shd w:val="clear" w:color="auto" w:fill="auto"/>
            <w:vAlign w:val="center"/>
          </w:tcPr>
          <w:p w14:paraId="65AF2EE1">
            <w:pPr>
              <w:rPr>
                <w:rFonts w:hint="eastAsia" w:ascii="宋体" w:hAnsi="宋体" w:eastAsia="宋体" w:cs="宋体"/>
                <w:i w:val="0"/>
                <w:iCs w:val="0"/>
                <w:color w:val="000000"/>
                <w:sz w:val="18"/>
                <w:szCs w:val="18"/>
                <w:u w:val="none"/>
              </w:rPr>
            </w:pPr>
          </w:p>
        </w:tc>
        <w:tc>
          <w:tcPr>
            <w:tcW w:w="429" w:type="dxa"/>
            <w:tcBorders>
              <w:top w:val="nil"/>
              <w:left w:val="nil"/>
              <w:bottom w:val="nil"/>
              <w:right w:val="nil"/>
            </w:tcBorders>
            <w:shd w:val="clear" w:color="auto" w:fill="auto"/>
            <w:vAlign w:val="center"/>
          </w:tcPr>
          <w:p w14:paraId="331D4D14">
            <w:pPr>
              <w:rPr>
                <w:rFonts w:hint="eastAsia" w:ascii="宋体" w:hAnsi="宋体" w:eastAsia="宋体" w:cs="宋体"/>
                <w:i w:val="0"/>
                <w:iCs w:val="0"/>
                <w:color w:val="000000"/>
                <w:sz w:val="18"/>
                <w:szCs w:val="18"/>
                <w:u w:val="none"/>
              </w:rPr>
            </w:pPr>
          </w:p>
        </w:tc>
        <w:tc>
          <w:tcPr>
            <w:tcW w:w="882" w:type="dxa"/>
            <w:tcBorders>
              <w:top w:val="nil"/>
              <w:left w:val="nil"/>
              <w:bottom w:val="nil"/>
              <w:right w:val="nil"/>
            </w:tcBorders>
            <w:shd w:val="clear" w:color="auto" w:fill="auto"/>
            <w:vAlign w:val="center"/>
          </w:tcPr>
          <w:p w14:paraId="00A4A5CA">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14:paraId="62A53001">
            <w:pPr>
              <w:rPr>
                <w:rFonts w:hint="eastAsia" w:ascii="宋体" w:hAnsi="宋体" w:eastAsia="宋体" w:cs="宋体"/>
                <w:i w:val="0"/>
                <w:iCs w:val="0"/>
                <w:color w:val="000000"/>
                <w:sz w:val="18"/>
                <w:szCs w:val="18"/>
                <w:u w:val="none"/>
              </w:rPr>
            </w:pPr>
          </w:p>
        </w:tc>
        <w:tc>
          <w:tcPr>
            <w:tcW w:w="411" w:type="dxa"/>
            <w:tcBorders>
              <w:top w:val="nil"/>
              <w:left w:val="nil"/>
              <w:bottom w:val="nil"/>
              <w:right w:val="nil"/>
            </w:tcBorders>
            <w:shd w:val="clear" w:color="auto" w:fill="auto"/>
            <w:vAlign w:val="center"/>
          </w:tcPr>
          <w:p w14:paraId="1C168B32">
            <w:pPr>
              <w:rPr>
                <w:rFonts w:hint="eastAsia" w:ascii="宋体" w:hAnsi="宋体" w:eastAsia="宋体" w:cs="宋体"/>
                <w:i w:val="0"/>
                <w:iCs w:val="0"/>
                <w:color w:val="000000"/>
                <w:sz w:val="18"/>
                <w:szCs w:val="18"/>
                <w:u w:val="none"/>
              </w:rPr>
            </w:pPr>
          </w:p>
        </w:tc>
        <w:tc>
          <w:tcPr>
            <w:tcW w:w="1704" w:type="dxa"/>
            <w:tcBorders>
              <w:top w:val="nil"/>
              <w:left w:val="nil"/>
              <w:bottom w:val="nil"/>
              <w:right w:val="nil"/>
            </w:tcBorders>
            <w:shd w:val="clear" w:color="auto" w:fill="auto"/>
            <w:vAlign w:val="center"/>
          </w:tcPr>
          <w:p w14:paraId="758B2B09">
            <w:pPr>
              <w:rPr>
                <w:rFonts w:hint="eastAsia" w:ascii="宋体" w:hAnsi="宋体" w:eastAsia="宋体" w:cs="宋体"/>
                <w:i w:val="0"/>
                <w:iCs w:val="0"/>
                <w:color w:val="000000"/>
                <w:sz w:val="18"/>
                <w:szCs w:val="18"/>
                <w:u w:val="none"/>
              </w:rPr>
            </w:pPr>
          </w:p>
        </w:tc>
      </w:tr>
    </w:tbl>
    <w:tbl>
      <w:tblPr>
        <w:tblStyle w:val="14"/>
        <w:tblpPr w:leftFromText="180" w:rightFromText="180" w:vertAnchor="text" w:horzAnchor="page" w:tblpX="1185" w:tblpY="193"/>
        <w:tblOverlap w:val="never"/>
        <w:tblW w:w="10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398"/>
        <w:gridCol w:w="1221"/>
        <w:gridCol w:w="1538"/>
        <w:gridCol w:w="412"/>
        <w:gridCol w:w="1147"/>
        <w:gridCol w:w="414"/>
        <w:gridCol w:w="881"/>
        <w:gridCol w:w="506"/>
        <w:gridCol w:w="506"/>
        <w:gridCol w:w="1757"/>
      </w:tblGrid>
      <w:tr w14:paraId="1D022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03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EE5A04C">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88E2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EB6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3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E9C8A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51190221T000000167872-安置帮教经费</w:t>
            </w:r>
          </w:p>
        </w:tc>
      </w:tr>
      <w:tr w14:paraId="32C21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85B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C098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司法局</w:t>
            </w:r>
          </w:p>
        </w:tc>
        <w:tc>
          <w:tcPr>
            <w:tcW w:w="881" w:type="dxa"/>
            <w:tcBorders>
              <w:top w:val="nil"/>
              <w:left w:val="nil"/>
              <w:bottom w:val="nil"/>
              <w:right w:val="nil"/>
            </w:tcBorders>
            <w:shd w:val="clear" w:color="auto" w:fill="auto"/>
            <w:vAlign w:val="center"/>
          </w:tcPr>
          <w:p w14:paraId="6E957817">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543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巴中市巴州区司法局</w:t>
            </w:r>
          </w:p>
        </w:tc>
      </w:tr>
      <w:tr w14:paraId="707DB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3AC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3A5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4301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2A3C9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7944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599B8">
            <w:pPr>
              <w:rPr>
                <w:rFonts w:hint="eastAsia" w:ascii="宋体" w:hAnsi="宋体" w:eastAsia="宋体" w:cs="宋体"/>
                <w:i w:val="0"/>
                <w:iCs w:val="0"/>
                <w:color w:val="000000"/>
                <w:sz w:val="18"/>
                <w:szCs w:val="18"/>
                <w:u w:val="none"/>
              </w:rPr>
            </w:pP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7CEC3">
            <w:pPr>
              <w:rPr>
                <w:rFonts w:hint="eastAsia" w:ascii="宋体" w:hAnsi="宋体" w:eastAsia="宋体" w:cs="宋体"/>
                <w:i w:val="0"/>
                <w:iCs w:val="0"/>
                <w:color w:val="000000"/>
                <w:sz w:val="18"/>
                <w:szCs w:val="18"/>
                <w:u w:val="none"/>
              </w:rPr>
            </w:pPr>
          </w:p>
        </w:tc>
        <w:tc>
          <w:tcPr>
            <w:tcW w:w="47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6F8B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开展刑释解教人员安置帮教工作，通过安置、帮教，让刑释解教人员重新树立对生活的信心，最大限度地预防和减少重新犯罪。</w:t>
            </w:r>
          </w:p>
        </w:tc>
        <w:tc>
          <w:tcPr>
            <w:tcW w:w="3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8753A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刑满释放人员衔接率达到100%。</w:t>
            </w:r>
          </w:p>
        </w:tc>
      </w:tr>
      <w:tr w14:paraId="3771D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01835">
            <w:pPr>
              <w:rPr>
                <w:rFonts w:hint="eastAsia" w:ascii="宋体" w:hAnsi="宋体" w:eastAsia="宋体" w:cs="宋体"/>
                <w:i w:val="0"/>
                <w:iCs w:val="0"/>
                <w:color w:val="000000"/>
                <w:sz w:val="18"/>
                <w:szCs w:val="18"/>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5C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3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6915808">
            <w:pPr>
              <w:rPr>
                <w:rFonts w:hint="eastAsia" w:ascii="宋体" w:hAnsi="宋体" w:eastAsia="宋体" w:cs="宋体"/>
                <w:i w:val="0"/>
                <w:iCs w:val="0"/>
                <w:color w:val="000000"/>
                <w:sz w:val="18"/>
                <w:szCs w:val="18"/>
                <w:u w:val="none"/>
              </w:rPr>
            </w:pPr>
          </w:p>
        </w:tc>
      </w:tr>
      <w:tr w14:paraId="037A9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EE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C3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3D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97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597B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E2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50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96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D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1FD5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C80EC">
            <w:pPr>
              <w:jc w:val="center"/>
              <w:rPr>
                <w:rFonts w:hint="eastAsia" w:ascii="宋体" w:hAnsi="宋体" w:eastAsia="宋体" w:cs="宋体"/>
                <w:i w:val="0"/>
                <w:iCs w:val="0"/>
                <w:color w:val="000000"/>
                <w:sz w:val="18"/>
                <w:szCs w:val="18"/>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BC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A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1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21D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DC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43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CE8B">
            <w:pPr>
              <w:jc w:val="center"/>
              <w:rPr>
                <w:rFonts w:hint="eastAsia" w:ascii="宋体" w:hAnsi="宋体" w:eastAsia="宋体" w:cs="宋体"/>
                <w:i w:val="0"/>
                <w:iCs w:val="0"/>
                <w:color w:val="000000"/>
                <w:sz w:val="18"/>
                <w:szCs w:val="18"/>
                <w:u w:val="none"/>
              </w:rPr>
            </w:pPr>
          </w:p>
        </w:tc>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2C4E5">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3F73F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9EF1D">
            <w:pPr>
              <w:jc w:val="center"/>
              <w:rPr>
                <w:rFonts w:hint="eastAsia" w:ascii="宋体" w:hAnsi="宋体" w:eastAsia="宋体" w:cs="宋体"/>
                <w:i w:val="0"/>
                <w:iCs w:val="0"/>
                <w:color w:val="000000"/>
                <w:sz w:val="18"/>
                <w:szCs w:val="18"/>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5A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36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DF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2BB8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92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AD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64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63C73">
            <w:pPr>
              <w:rPr>
                <w:rFonts w:hint="eastAsia" w:ascii="黑体" w:hAnsi="黑体" w:eastAsia="黑体" w:cs="黑体"/>
                <w:i/>
                <w:iCs/>
                <w:color w:val="000000"/>
                <w:sz w:val="18"/>
                <w:szCs w:val="18"/>
                <w:u w:val="none"/>
              </w:rPr>
            </w:pPr>
          </w:p>
        </w:tc>
      </w:tr>
      <w:tr w14:paraId="689F3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5F2D8">
            <w:pPr>
              <w:jc w:val="center"/>
              <w:rPr>
                <w:rFonts w:hint="eastAsia" w:ascii="宋体" w:hAnsi="宋体" w:eastAsia="宋体" w:cs="宋体"/>
                <w:i w:val="0"/>
                <w:iCs w:val="0"/>
                <w:color w:val="000000"/>
                <w:sz w:val="18"/>
                <w:szCs w:val="18"/>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5B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3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F9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CC8A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7B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37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19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22AF3">
            <w:pPr>
              <w:rPr>
                <w:rFonts w:hint="eastAsia" w:ascii="黑体" w:hAnsi="黑体" w:eastAsia="黑体" w:cs="黑体"/>
                <w:i/>
                <w:iCs/>
                <w:color w:val="000000"/>
                <w:sz w:val="18"/>
                <w:szCs w:val="18"/>
                <w:u w:val="none"/>
              </w:rPr>
            </w:pPr>
          </w:p>
        </w:tc>
      </w:tr>
      <w:tr w14:paraId="3F773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86B90">
            <w:pPr>
              <w:jc w:val="center"/>
              <w:rPr>
                <w:rFonts w:hint="eastAsia" w:ascii="宋体" w:hAnsi="宋体" w:eastAsia="宋体" w:cs="宋体"/>
                <w:i w:val="0"/>
                <w:iCs w:val="0"/>
                <w:color w:val="000000"/>
                <w:sz w:val="18"/>
                <w:szCs w:val="18"/>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0F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02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89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749A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1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26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3B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8C691">
            <w:pPr>
              <w:rPr>
                <w:rFonts w:hint="eastAsia" w:ascii="黑体" w:hAnsi="黑体" w:eastAsia="黑体" w:cs="黑体"/>
                <w:i/>
                <w:iCs/>
                <w:color w:val="000000"/>
                <w:sz w:val="18"/>
                <w:szCs w:val="18"/>
                <w:u w:val="none"/>
              </w:rPr>
            </w:pPr>
          </w:p>
        </w:tc>
      </w:tr>
      <w:tr w14:paraId="760C7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D39C3">
            <w:pPr>
              <w:jc w:val="center"/>
              <w:rPr>
                <w:rFonts w:hint="eastAsia" w:ascii="宋体" w:hAnsi="宋体" w:eastAsia="宋体" w:cs="宋体"/>
                <w:i w:val="0"/>
                <w:iCs w:val="0"/>
                <w:color w:val="000000"/>
                <w:sz w:val="18"/>
                <w:szCs w:val="18"/>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DA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A431">
            <w:pPr>
              <w:jc w:val="center"/>
              <w:rPr>
                <w:rFonts w:hint="eastAsia" w:ascii="微软雅黑" w:hAnsi="微软雅黑" w:eastAsia="微软雅黑" w:cs="微软雅黑"/>
                <w:i/>
                <w:iCs/>
                <w:color w:val="000000"/>
                <w:sz w:val="16"/>
                <w:szCs w:val="16"/>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40C7">
            <w:pPr>
              <w:jc w:val="center"/>
              <w:rPr>
                <w:rFonts w:hint="eastAsia" w:ascii="微软雅黑" w:hAnsi="微软雅黑" w:eastAsia="微软雅黑" w:cs="微软雅黑"/>
                <w:i/>
                <w:iCs/>
                <w:color w:val="000000"/>
                <w:sz w:val="16"/>
                <w:szCs w:val="16"/>
                <w:u w:val="none"/>
              </w:rPr>
            </w:pP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0619DA">
            <w:pPr>
              <w:jc w:val="center"/>
              <w:rPr>
                <w:rFonts w:hint="eastAsia" w:ascii="微软雅黑" w:hAnsi="微软雅黑" w:eastAsia="微软雅黑" w:cs="微软雅黑"/>
                <w:i/>
                <w:iCs/>
                <w:color w:val="000000"/>
                <w:sz w:val="16"/>
                <w:szCs w:val="16"/>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A6AB">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2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40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F4426">
            <w:pPr>
              <w:rPr>
                <w:rFonts w:hint="eastAsia" w:ascii="黑体" w:hAnsi="黑体" w:eastAsia="黑体" w:cs="黑体"/>
                <w:i/>
                <w:iCs/>
                <w:color w:val="000000"/>
                <w:sz w:val="18"/>
                <w:szCs w:val="18"/>
                <w:u w:val="none"/>
              </w:rPr>
            </w:pPr>
          </w:p>
        </w:tc>
      </w:tr>
      <w:tr w14:paraId="727FA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9"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360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B4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7C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0E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1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94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1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0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A7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F6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BF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2916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12683">
            <w:pPr>
              <w:jc w:val="center"/>
              <w:rPr>
                <w:rFonts w:hint="eastAsia" w:ascii="宋体" w:hAnsi="宋体" w:eastAsia="宋体" w:cs="宋体"/>
                <w:i w:val="0"/>
                <w:iCs w:val="0"/>
                <w:color w:val="000000"/>
                <w:sz w:val="18"/>
                <w:szCs w:val="18"/>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11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0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BE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帮教率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3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46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3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9B75">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97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EFC7">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50</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AFCD">
            <w:pPr>
              <w:jc w:val="center"/>
              <w:rPr>
                <w:rFonts w:hint="eastAsia" w:ascii="微软雅黑" w:hAnsi="微软雅黑" w:eastAsia="微软雅黑" w:cs="微软雅黑"/>
                <w:i/>
                <w:iCs/>
                <w:color w:val="000000"/>
                <w:sz w:val="16"/>
                <w:szCs w:val="16"/>
                <w:u w:val="none"/>
              </w:rPr>
            </w:pPr>
          </w:p>
        </w:tc>
      </w:tr>
      <w:tr w14:paraId="18CD7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BB3BE">
            <w:pPr>
              <w:jc w:val="center"/>
              <w:rPr>
                <w:rFonts w:hint="eastAsia" w:ascii="宋体" w:hAnsi="宋体" w:eastAsia="宋体" w:cs="宋体"/>
                <w:i w:val="0"/>
                <w:iCs w:val="0"/>
                <w:color w:val="000000"/>
                <w:sz w:val="18"/>
                <w:szCs w:val="18"/>
                <w:u w:val="none"/>
              </w:rPr>
            </w:pPr>
          </w:p>
        </w:tc>
        <w:tc>
          <w:tcPr>
            <w:tcW w:w="13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1DA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D4D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91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安置率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00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17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16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8C5D">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EF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A4F4">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1331">
            <w:pPr>
              <w:jc w:val="center"/>
              <w:rPr>
                <w:rFonts w:hint="eastAsia" w:ascii="微软雅黑" w:hAnsi="微软雅黑" w:eastAsia="微软雅黑" w:cs="微软雅黑"/>
                <w:i/>
                <w:iCs/>
                <w:color w:val="000000"/>
                <w:sz w:val="16"/>
                <w:szCs w:val="16"/>
                <w:u w:val="none"/>
              </w:rPr>
            </w:pPr>
          </w:p>
        </w:tc>
      </w:tr>
      <w:tr w14:paraId="294DB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852EA">
            <w:pPr>
              <w:jc w:val="center"/>
              <w:rPr>
                <w:rFonts w:hint="eastAsia" w:ascii="宋体" w:hAnsi="宋体" w:eastAsia="宋体" w:cs="宋体"/>
                <w:i w:val="0"/>
                <w:iCs w:val="0"/>
                <w:color w:val="000000"/>
                <w:sz w:val="18"/>
                <w:szCs w:val="18"/>
                <w:u w:val="none"/>
              </w:rPr>
            </w:pPr>
          </w:p>
        </w:tc>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3C1C6">
            <w:pPr>
              <w:jc w:val="cente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60462">
            <w:pPr>
              <w:jc w:val="center"/>
              <w:rPr>
                <w:rFonts w:hint="eastAsia" w:ascii="宋体" w:hAnsi="宋体" w:eastAsia="宋体" w:cs="宋体"/>
                <w:i w:val="0"/>
                <w:iCs w:val="0"/>
                <w:color w:val="000000"/>
                <w:sz w:val="18"/>
                <w:szCs w:val="1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91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安置帮教衔接率</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8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84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B8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EB86">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68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795B">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F10A">
            <w:pPr>
              <w:jc w:val="center"/>
              <w:rPr>
                <w:rFonts w:hint="eastAsia" w:ascii="微软雅黑" w:hAnsi="微软雅黑" w:eastAsia="微软雅黑" w:cs="微软雅黑"/>
                <w:i/>
                <w:iCs/>
                <w:color w:val="000000"/>
                <w:sz w:val="16"/>
                <w:szCs w:val="16"/>
                <w:u w:val="none"/>
              </w:rPr>
            </w:pPr>
          </w:p>
        </w:tc>
      </w:tr>
      <w:tr w14:paraId="7AD1E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4F054">
            <w:pPr>
              <w:jc w:val="center"/>
              <w:rPr>
                <w:rFonts w:hint="eastAsia" w:ascii="宋体" w:hAnsi="宋体" w:eastAsia="宋体" w:cs="宋体"/>
                <w:i w:val="0"/>
                <w:iCs w:val="0"/>
                <w:color w:val="000000"/>
                <w:sz w:val="18"/>
                <w:szCs w:val="18"/>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4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8C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帮扶对象满意度指标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0C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刑释人员满意度</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3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D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9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4334">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D7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9E84">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3BC7">
            <w:pPr>
              <w:jc w:val="center"/>
              <w:rPr>
                <w:rFonts w:hint="eastAsia" w:ascii="微软雅黑" w:hAnsi="微软雅黑" w:eastAsia="微软雅黑" w:cs="微软雅黑"/>
                <w:i/>
                <w:iCs/>
                <w:color w:val="000000"/>
                <w:sz w:val="16"/>
                <w:szCs w:val="16"/>
                <w:u w:val="none"/>
              </w:rPr>
            </w:pPr>
          </w:p>
        </w:tc>
      </w:tr>
      <w:tr w14:paraId="3A963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6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36D4A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D7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82F6">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7BB9">
            <w:pPr>
              <w:rPr>
                <w:rFonts w:hint="eastAsia" w:ascii="宋体" w:hAnsi="宋体" w:eastAsia="宋体" w:cs="宋体"/>
                <w:i w:val="0"/>
                <w:iCs w:val="0"/>
                <w:color w:val="000000"/>
                <w:sz w:val="18"/>
                <w:szCs w:val="18"/>
                <w:u w:val="none"/>
              </w:rPr>
            </w:pPr>
          </w:p>
        </w:tc>
      </w:tr>
      <w:tr w14:paraId="1C391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E4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7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FA05B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项目自评总分为100分，</w:t>
            </w:r>
          </w:p>
        </w:tc>
      </w:tr>
      <w:tr w14:paraId="3964F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A7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7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1CF246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C93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D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7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F810E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109C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1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1870F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2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2F013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tbl>
      <w:tblPr>
        <w:tblStyle w:val="14"/>
        <w:tblpPr w:leftFromText="180" w:rightFromText="180" w:vertAnchor="text" w:horzAnchor="page" w:tblpX="1470" w:tblpY="609"/>
        <w:tblOverlap w:val="never"/>
        <w:tblW w:w="10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3"/>
        <w:gridCol w:w="1369"/>
        <w:gridCol w:w="1187"/>
        <w:gridCol w:w="1491"/>
        <w:gridCol w:w="420"/>
        <w:gridCol w:w="1129"/>
        <w:gridCol w:w="450"/>
        <w:gridCol w:w="902"/>
        <w:gridCol w:w="517"/>
        <w:gridCol w:w="494"/>
        <w:gridCol w:w="1768"/>
      </w:tblGrid>
      <w:tr w14:paraId="448B1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CD99433">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DC66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46D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3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312C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51190221T000000167890-法律援助经费</w:t>
            </w:r>
          </w:p>
        </w:tc>
      </w:tr>
      <w:tr w14:paraId="4812E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15E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F07A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司法局</w:t>
            </w:r>
          </w:p>
        </w:tc>
        <w:tc>
          <w:tcPr>
            <w:tcW w:w="902" w:type="dxa"/>
            <w:tcBorders>
              <w:top w:val="nil"/>
              <w:left w:val="nil"/>
              <w:bottom w:val="nil"/>
              <w:right w:val="nil"/>
            </w:tcBorders>
            <w:shd w:val="clear" w:color="auto" w:fill="auto"/>
            <w:vAlign w:val="center"/>
          </w:tcPr>
          <w:p w14:paraId="4C804BD2">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50BF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巴中市巴州区司法局</w:t>
            </w:r>
          </w:p>
        </w:tc>
      </w:tr>
      <w:tr w14:paraId="6B414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5F1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FB3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5E0C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6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401A5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C49B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6"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629AA">
            <w:pPr>
              <w:rPr>
                <w:rFonts w:hint="eastAsia" w:ascii="宋体" w:hAnsi="宋体" w:eastAsia="宋体" w:cs="宋体"/>
                <w:i w:val="0"/>
                <w:iCs w:val="0"/>
                <w:color w:val="000000"/>
                <w:sz w:val="18"/>
                <w:szCs w:val="18"/>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814CC">
            <w:pPr>
              <w:rPr>
                <w:rFonts w:hint="eastAsia" w:ascii="宋体" w:hAnsi="宋体" w:eastAsia="宋体" w:cs="宋体"/>
                <w:i w:val="0"/>
                <w:iCs w:val="0"/>
                <w:color w:val="000000"/>
                <w:sz w:val="18"/>
                <w:szCs w:val="18"/>
                <w:u w:val="none"/>
              </w:rPr>
            </w:pPr>
          </w:p>
        </w:tc>
        <w:tc>
          <w:tcPr>
            <w:tcW w:w="46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CDE7F9">
            <w:pPr>
              <w:keepNext w:val="0"/>
              <w:keepLines w:val="0"/>
              <w:widowControl/>
              <w:suppressLineNumbers w:val="0"/>
              <w:spacing w:after="180" w:afterAutospacing="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加大法律援助工作力度，降低法律援助门槛，提高法律援助质量，办理法律援助案件，维护社会稳定、促进司法公正；切实维护弱势群体的合法权益；促进社会和谐稳定与发展。</w:t>
            </w:r>
          </w:p>
        </w:tc>
        <w:tc>
          <w:tcPr>
            <w:tcW w:w="36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A1542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善村（社区）法律顾问管理制度，升级公共法律服务平台阵地设施，新成立律师事务所1个，建成残疾人法律救助工作站2个、退役军人公共法律服务工作站1个。推行“法律服务质量监督卡”服务模式、法律援助告知承诺制，持续畅通公证、法援“网办通道”“绿色通道”，累计办理法律援助案件578件，提供免费法律咨询7140人次。</w:t>
            </w:r>
          </w:p>
        </w:tc>
      </w:tr>
      <w:tr w14:paraId="62E32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50AEA">
            <w:pPr>
              <w:rPr>
                <w:rFonts w:hint="eastAsia" w:ascii="宋体" w:hAnsi="宋体" w:eastAsia="宋体" w:cs="宋体"/>
                <w:i w:val="0"/>
                <w:iCs w:val="0"/>
                <w:color w:val="000000"/>
                <w:sz w:val="18"/>
                <w:szCs w:val="18"/>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A7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3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D744E7">
            <w:pPr>
              <w:rPr>
                <w:rFonts w:hint="eastAsia" w:ascii="宋体" w:hAnsi="宋体" w:eastAsia="宋体" w:cs="宋体"/>
                <w:i w:val="0"/>
                <w:iCs w:val="0"/>
                <w:color w:val="000000"/>
                <w:sz w:val="18"/>
                <w:szCs w:val="18"/>
                <w:u w:val="none"/>
              </w:rPr>
            </w:pPr>
          </w:p>
        </w:tc>
      </w:tr>
      <w:tr w14:paraId="29563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99F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D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CF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5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8B5B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A4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5C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9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38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EFD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E5F57">
            <w:pPr>
              <w:jc w:val="center"/>
              <w:rPr>
                <w:rFonts w:hint="eastAsia" w:ascii="宋体" w:hAnsi="宋体" w:eastAsia="宋体" w:cs="宋体"/>
                <w:i w:val="0"/>
                <w:iCs w:val="0"/>
                <w:color w:val="000000"/>
                <w:sz w:val="18"/>
                <w:szCs w:val="18"/>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06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B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6C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27BC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2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E5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E8B2">
            <w:pPr>
              <w:jc w:val="center"/>
              <w:rPr>
                <w:rFonts w:hint="eastAsia" w:ascii="宋体" w:hAnsi="宋体" w:eastAsia="宋体" w:cs="宋体"/>
                <w:i w:val="0"/>
                <w:iCs w:val="0"/>
                <w:color w:val="000000"/>
                <w:sz w:val="18"/>
                <w:szCs w:val="18"/>
                <w:u w:val="none"/>
              </w:rPr>
            </w:pPr>
          </w:p>
        </w:tc>
        <w:tc>
          <w:tcPr>
            <w:tcW w:w="1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742F6">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38985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63798">
            <w:pPr>
              <w:jc w:val="center"/>
              <w:rPr>
                <w:rFonts w:hint="eastAsia" w:ascii="宋体" w:hAnsi="宋体" w:eastAsia="宋体" w:cs="宋体"/>
                <w:i w:val="0"/>
                <w:iCs w:val="0"/>
                <w:color w:val="000000"/>
                <w:sz w:val="18"/>
                <w:szCs w:val="18"/>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6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83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E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40D9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E6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93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B5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2F1AE">
            <w:pPr>
              <w:rPr>
                <w:rFonts w:hint="eastAsia" w:ascii="黑体" w:hAnsi="黑体" w:eastAsia="黑体" w:cs="黑体"/>
                <w:i/>
                <w:iCs/>
                <w:color w:val="000000"/>
                <w:sz w:val="18"/>
                <w:szCs w:val="18"/>
                <w:u w:val="none"/>
              </w:rPr>
            </w:pPr>
          </w:p>
        </w:tc>
      </w:tr>
      <w:tr w14:paraId="20397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27B34">
            <w:pPr>
              <w:jc w:val="center"/>
              <w:rPr>
                <w:rFonts w:hint="eastAsia" w:ascii="宋体" w:hAnsi="宋体" w:eastAsia="宋体" w:cs="宋体"/>
                <w:i w:val="0"/>
                <w:iCs w:val="0"/>
                <w:color w:val="000000"/>
                <w:sz w:val="18"/>
                <w:szCs w:val="18"/>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F3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0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36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0969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3C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E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4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0CC54">
            <w:pPr>
              <w:rPr>
                <w:rFonts w:hint="eastAsia" w:ascii="黑体" w:hAnsi="黑体" w:eastAsia="黑体" w:cs="黑体"/>
                <w:i/>
                <w:iCs/>
                <w:color w:val="000000"/>
                <w:sz w:val="18"/>
                <w:szCs w:val="18"/>
                <w:u w:val="none"/>
              </w:rPr>
            </w:pPr>
          </w:p>
        </w:tc>
      </w:tr>
      <w:tr w14:paraId="650AC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5CAC3">
            <w:pPr>
              <w:jc w:val="center"/>
              <w:rPr>
                <w:rFonts w:hint="eastAsia" w:ascii="宋体" w:hAnsi="宋体" w:eastAsia="宋体" w:cs="宋体"/>
                <w:i w:val="0"/>
                <w:iCs w:val="0"/>
                <w:color w:val="000000"/>
                <w:sz w:val="18"/>
                <w:szCs w:val="18"/>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F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F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04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B50B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1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FC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F3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13C38">
            <w:pPr>
              <w:rPr>
                <w:rFonts w:hint="eastAsia" w:ascii="黑体" w:hAnsi="黑体" w:eastAsia="黑体" w:cs="黑体"/>
                <w:i/>
                <w:iCs/>
                <w:color w:val="000000"/>
                <w:sz w:val="18"/>
                <w:szCs w:val="18"/>
                <w:u w:val="none"/>
              </w:rPr>
            </w:pPr>
          </w:p>
        </w:tc>
      </w:tr>
      <w:tr w14:paraId="4F8B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3B6B6">
            <w:pPr>
              <w:jc w:val="center"/>
              <w:rPr>
                <w:rFonts w:hint="eastAsia" w:ascii="宋体" w:hAnsi="宋体" w:eastAsia="宋体" w:cs="宋体"/>
                <w:i w:val="0"/>
                <w:iCs w:val="0"/>
                <w:color w:val="000000"/>
                <w:sz w:val="18"/>
                <w:szCs w:val="18"/>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8F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7155">
            <w:pPr>
              <w:jc w:val="center"/>
              <w:rPr>
                <w:rFonts w:hint="eastAsia" w:ascii="微软雅黑" w:hAnsi="微软雅黑" w:eastAsia="微软雅黑" w:cs="微软雅黑"/>
                <w:i/>
                <w:iCs/>
                <w:color w:val="000000"/>
                <w:sz w:val="16"/>
                <w:szCs w:val="16"/>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4F31">
            <w:pPr>
              <w:jc w:val="center"/>
              <w:rPr>
                <w:rFonts w:hint="eastAsia" w:ascii="微软雅黑" w:hAnsi="微软雅黑" w:eastAsia="微软雅黑" w:cs="微软雅黑"/>
                <w:i/>
                <w:iCs/>
                <w:color w:val="000000"/>
                <w:sz w:val="16"/>
                <w:szCs w:val="16"/>
                <w:u w:val="none"/>
              </w:rPr>
            </w:pPr>
          </w:p>
        </w:tc>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42135A">
            <w:pPr>
              <w:jc w:val="center"/>
              <w:rPr>
                <w:rFonts w:hint="eastAsia" w:ascii="微软雅黑" w:hAnsi="微软雅黑" w:eastAsia="微软雅黑" w:cs="微软雅黑"/>
                <w:i/>
                <w:iCs/>
                <w:color w:val="000000"/>
                <w:sz w:val="16"/>
                <w:szCs w:val="16"/>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3367">
            <w:pPr>
              <w:jc w:val="center"/>
              <w:rPr>
                <w:rFonts w:hint="eastAsia" w:ascii="微软雅黑" w:hAnsi="微软雅黑" w:eastAsia="微软雅黑" w:cs="微软雅黑"/>
                <w:i/>
                <w:iCs/>
                <w:color w:val="000000"/>
                <w:sz w:val="16"/>
                <w:szCs w:val="16"/>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47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E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DD71B">
            <w:pPr>
              <w:rPr>
                <w:rFonts w:hint="eastAsia" w:ascii="黑体" w:hAnsi="黑体" w:eastAsia="黑体" w:cs="黑体"/>
                <w:i/>
                <w:iCs/>
                <w:color w:val="000000"/>
                <w:sz w:val="18"/>
                <w:szCs w:val="18"/>
                <w:u w:val="none"/>
              </w:rPr>
            </w:pPr>
          </w:p>
        </w:tc>
      </w:tr>
      <w:tr w14:paraId="2017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6A8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09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6B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04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A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20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93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99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D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72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E5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0CC0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4F014">
            <w:pPr>
              <w:jc w:val="center"/>
              <w:rPr>
                <w:rFonts w:hint="eastAsia" w:ascii="宋体" w:hAnsi="宋体" w:eastAsia="宋体" w:cs="宋体"/>
                <w:i w:val="0"/>
                <w:iCs w:val="0"/>
                <w:color w:val="000000"/>
                <w:sz w:val="18"/>
                <w:szCs w:val="18"/>
                <w:u w:val="none"/>
              </w:rPr>
            </w:pP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40F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1DC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7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法律援助咨询服务次数</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BC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1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8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78CE">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7140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B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C0AC">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2E41">
            <w:pPr>
              <w:jc w:val="center"/>
              <w:rPr>
                <w:rFonts w:hint="eastAsia" w:ascii="微软雅黑" w:hAnsi="微软雅黑" w:eastAsia="微软雅黑" w:cs="微软雅黑"/>
                <w:i/>
                <w:iCs/>
                <w:color w:val="000000"/>
                <w:sz w:val="16"/>
                <w:szCs w:val="16"/>
                <w:u w:val="none"/>
              </w:rPr>
            </w:pPr>
          </w:p>
        </w:tc>
      </w:tr>
      <w:tr w14:paraId="20265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84910">
            <w:pPr>
              <w:jc w:val="center"/>
              <w:rPr>
                <w:rFonts w:hint="eastAsia" w:ascii="宋体" w:hAnsi="宋体" w:eastAsia="宋体" w:cs="宋体"/>
                <w:i w:val="0"/>
                <w:iCs w:val="0"/>
                <w:color w:val="000000"/>
                <w:sz w:val="18"/>
                <w:szCs w:val="18"/>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9D44F">
            <w:pPr>
              <w:jc w:val="center"/>
              <w:rPr>
                <w:rFonts w:hint="eastAsia" w:ascii="宋体" w:hAnsi="宋体" w:eastAsia="宋体" w:cs="宋体"/>
                <w:i w:val="0"/>
                <w:iCs w:val="0"/>
                <w:color w:val="000000"/>
                <w:sz w:val="18"/>
                <w:szCs w:val="18"/>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F4EEF">
            <w:pPr>
              <w:jc w:val="center"/>
              <w:rPr>
                <w:rFonts w:hint="eastAsia" w:ascii="宋体" w:hAnsi="宋体" w:eastAsia="宋体" w:cs="宋体"/>
                <w:i w:val="0"/>
                <w:iCs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2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法律援助案件服务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00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E5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9F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件</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69C5">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579</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17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D195">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94EE">
            <w:pPr>
              <w:jc w:val="center"/>
              <w:rPr>
                <w:rFonts w:hint="eastAsia" w:ascii="微软雅黑" w:hAnsi="微软雅黑" w:eastAsia="微软雅黑" w:cs="微软雅黑"/>
                <w:i/>
                <w:iCs/>
                <w:color w:val="000000"/>
                <w:sz w:val="16"/>
                <w:szCs w:val="16"/>
                <w:u w:val="none"/>
              </w:rPr>
            </w:pPr>
          </w:p>
        </w:tc>
      </w:tr>
      <w:tr w14:paraId="1A2E9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02C47">
            <w:pPr>
              <w:jc w:val="center"/>
              <w:rPr>
                <w:rFonts w:hint="eastAsia" w:ascii="宋体" w:hAnsi="宋体" w:eastAsia="宋体" w:cs="宋体"/>
                <w:i w:val="0"/>
                <w:iCs w:val="0"/>
                <w:color w:val="000000"/>
                <w:sz w:val="18"/>
                <w:szCs w:val="18"/>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299B9">
            <w:pPr>
              <w:jc w:val="center"/>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BA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30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法律援助案件质量等级优良率</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B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A6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44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8407">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98</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0D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4AE0">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87B6">
            <w:pPr>
              <w:jc w:val="center"/>
              <w:rPr>
                <w:rFonts w:hint="eastAsia" w:ascii="微软雅黑" w:hAnsi="微软雅黑" w:eastAsia="微软雅黑" w:cs="微软雅黑"/>
                <w:i/>
                <w:iCs/>
                <w:color w:val="000000"/>
                <w:sz w:val="16"/>
                <w:szCs w:val="16"/>
                <w:u w:val="none"/>
              </w:rPr>
            </w:pPr>
          </w:p>
        </w:tc>
      </w:tr>
      <w:tr w14:paraId="3D014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3A20A">
            <w:pPr>
              <w:jc w:val="center"/>
              <w:rPr>
                <w:rFonts w:hint="eastAsia" w:ascii="宋体" w:hAnsi="宋体" w:eastAsia="宋体" w:cs="宋体"/>
                <w:i w:val="0"/>
                <w:iCs w:val="0"/>
                <w:color w:val="000000"/>
                <w:sz w:val="18"/>
                <w:szCs w:val="18"/>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2A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7C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EA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为受援助人减轻经济负担，有效的维护社会和谐稳定</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D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54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78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186C">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优</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BB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7946">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08D8">
            <w:pPr>
              <w:jc w:val="center"/>
              <w:rPr>
                <w:rFonts w:hint="eastAsia" w:ascii="微软雅黑" w:hAnsi="微软雅黑" w:eastAsia="微软雅黑" w:cs="微软雅黑"/>
                <w:i/>
                <w:iCs/>
                <w:color w:val="000000"/>
                <w:sz w:val="16"/>
                <w:szCs w:val="16"/>
                <w:u w:val="none"/>
              </w:rPr>
            </w:pPr>
          </w:p>
        </w:tc>
      </w:tr>
      <w:tr w14:paraId="59292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3A5E9">
            <w:pPr>
              <w:jc w:val="center"/>
              <w:rPr>
                <w:rFonts w:hint="eastAsia" w:ascii="宋体" w:hAnsi="宋体" w:eastAsia="宋体" w:cs="宋体"/>
                <w:i w:val="0"/>
                <w:iCs w:val="0"/>
                <w:color w:val="000000"/>
                <w:sz w:val="18"/>
                <w:szCs w:val="18"/>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2D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27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A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法律援助案件受援人满意度</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EB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6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27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7F71">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99</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27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1097">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B5D6">
            <w:pPr>
              <w:jc w:val="center"/>
              <w:rPr>
                <w:rFonts w:hint="eastAsia" w:ascii="微软雅黑" w:hAnsi="微软雅黑" w:eastAsia="微软雅黑" w:cs="微软雅黑"/>
                <w:i/>
                <w:iCs/>
                <w:color w:val="000000"/>
                <w:sz w:val="16"/>
                <w:szCs w:val="16"/>
                <w:u w:val="none"/>
              </w:rPr>
            </w:pPr>
          </w:p>
        </w:tc>
      </w:tr>
      <w:tr w14:paraId="5BD1D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75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48C64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C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CB01">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11A8">
            <w:pPr>
              <w:rPr>
                <w:rFonts w:hint="eastAsia" w:ascii="宋体" w:hAnsi="宋体" w:eastAsia="宋体" w:cs="宋体"/>
                <w:i w:val="0"/>
                <w:iCs w:val="0"/>
                <w:color w:val="000000"/>
                <w:sz w:val="18"/>
                <w:szCs w:val="18"/>
                <w:u w:val="none"/>
              </w:rPr>
            </w:pPr>
          </w:p>
        </w:tc>
      </w:tr>
      <w:tr w14:paraId="3C3B3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79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7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39E27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项目自评总分为100分，扩大法律援助范围，做到应援尽援，优化法律援助质量与效果，保障困难群体安居乐业，不断增强困难群众获得感、幸福感、安全感。</w:t>
            </w:r>
            <w:r>
              <w:rPr>
                <w:rFonts w:hint="eastAsia" w:ascii="微软雅黑" w:hAnsi="微软雅黑" w:eastAsia="微软雅黑" w:cs="微软雅黑"/>
                <w:i/>
                <w:iCs/>
                <w:color w:val="000000"/>
                <w:kern w:val="0"/>
                <w:sz w:val="16"/>
                <w:szCs w:val="16"/>
                <w:u w:val="none"/>
                <w:lang w:val="en-US" w:eastAsia="zh-CN" w:bidi="ar"/>
              </w:rPr>
              <w:tab/>
            </w:r>
            <w:r>
              <w:rPr>
                <w:rFonts w:hint="eastAsia" w:ascii="微软雅黑" w:hAnsi="微软雅黑" w:eastAsia="微软雅黑" w:cs="微软雅黑"/>
                <w:i/>
                <w:iCs/>
                <w:color w:val="000000"/>
                <w:kern w:val="0"/>
                <w:sz w:val="16"/>
                <w:szCs w:val="16"/>
                <w:u w:val="none"/>
                <w:lang w:val="en-US" w:eastAsia="zh-CN" w:bidi="ar"/>
              </w:rPr>
              <w:tab/>
            </w:r>
            <w:r>
              <w:rPr>
                <w:rFonts w:hint="eastAsia" w:ascii="微软雅黑" w:hAnsi="微软雅黑" w:eastAsia="微软雅黑" w:cs="微软雅黑"/>
                <w:i/>
                <w:iCs/>
                <w:color w:val="000000"/>
                <w:kern w:val="0"/>
                <w:sz w:val="16"/>
                <w:szCs w:val="16"/>
                <w:u w:val="none"/>
                <w:lang w:val="en-US" w:eastAsia="zh-CN" w:bidi="ar"/>
              </w:rPr>
              <w:tab/>
            </w:r>
            <w:r>
              <w:rPr>
                <w:rFonts w:hint="eastAsia" w:ascii="微软雅黑" w:hAnsi="微软雅黑" w:eastAsia="微软雅黑" w:cs="微软雅黑"/>
                <w:i/>
                <w:iCs/>
                <w:color w:val="000000"/>
                <w:kern w:val="0"/>
                <w:sz w:val="16"/>
                <w:szCs w:val="16"/>
                <w:u w:val="none"/>
                <w:lang w:val="en-US" w:eastAsia="zh-CN" w:bidi="ar"/>
              </w:rPr>
              <w:tab/>
            </w:r>
            <w:r>
              <w:rPr>
                <w:rFonts w:hint="eastAsia" w:ascii="微软雅黑" w:hAnsi="微软雅黑" w:eastAsia="微软雅黑" w:cs="微软雅黑"/>
                <w:i/>
                <w:iCs/>
                <w:color w:val="000000"/>
                <w:kern w:val="0"/>
                <w:sz w:val="16"/>
                <w:szCs w:val="16"/>
                <w:u w:val="none"/>
                <w:lang w:val="en-US" w:eastAsia="zh-CN" w:bidi="ar"/>
              </w:rPr>
              <w:tab/>
            </w:r>
            <w:r>
              <w:rPr>
                <w:rFonts w:hint="eastAsia" w:ascii="微软雅黑" w:hAnsi="微软雅黑" w:eastAsia="微软雅黑" w:cs="微软雅黑"/>
                <w:i/>
                <w:iCs/>
                <w:color w:val="000000"/>
                <w:kern w:val="0"/>
                <w:sz w:val="16"/>
                <w:szCs w:val="16"/>
                <w:u w:val="none"/>
                <w:lang w:val="en-US" w:eastAsia="zh-CN" w:bidi="ar"/>
              </w:rPr>
              <w:tab/>
            </w:r>
            <w:r>
              <w:rPr>
                <w:rFonts w:hint="eastAsia" w:ascii="微软雅黑" w:hAnsi="微软雅黑" w:eastAsia="微软雅黑" w:cs="微软雅黑"/>
                <w:i/>
                <w:iCs/>
                <w:color w:val="000000"/>
                <w:kern w:val="0"/>
                <w:sz w:val="16"/>
                <w:szCs w:val="16"/>
                <w:u w:val="none"/>
                <w:lang w:val="en-US" w:eastAsia="zh-CN" w:bidi="ar"/>
              </w:rPr>
              <w:tab/>
            </w:r>
            <w:r>
              <w:rPr>
                <w:rFonts w:hint="eastAsia" w:ascii="微软雅黑" w:hAnsi="微软雅黑" w:eastAsia="微软雅黑" w:cs="微软雅黑"/>
                <w:i/>
                <w:iCs/>
                <w:color w:val="000000"/>
                <w:kern w:val="0"/>
                <w:sz w:val="16"/>
                <w:szCs w:val="16"/>
                <w:u w:val="none"/>
                <w:lang w:val="en-US" w:eastAsia="zh-CN" w:bidi="ar"/>
              </w:rPr>
              <w:tab/>
            </w:r>
            <w:r>
              <w:rPr>
                <w:rFonts w:hint="eastAsia" w:ascii="微软雅黑" w:hAnsi="微软雅黑" w:eastAsia="微软雅黑" w:cs="微软雅黑"/>
                <w:i/>
                <w:iCs/>
                <w:color w:val="000000"/>
                <w:kern w:val="0"/>
                <w:sz w:val="16"/>
                <w:szCs w:val="16"/>
                <w:u w:val="none"/>
                <w:lang w:val="en-US" w:eastAsia="zh-CN" w:bidi="ar"/>
              </w:rPr>
              <w:tab/>
            </w:r>
          </w:p>
        </w:tc>
      </w:tr>
      <w:tr w14:paraId="2B8C5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B5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7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748D8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3296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28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7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391F8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无</w:t>
            </w:r>
          </w:p>
        </w:tc>
      </w:tr>
      <w:tr w14:paraId="2A96F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5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200EC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2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D3F10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CC9B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613" w:type="dxa"/>
            <w:tcBorders>
              <w:top w:val="nil"/>
              <w:left w:val="nil"/>
              <w:bottom w:val="nil"/>
              <w:right w:val="nil"/>
            </w:tcBorders>
            <w:shd w:val="clear" w:color="auto" w:fill="auto"/>
            <w:vAlign w:val="center"/>
          </w:tcPr>
          <w:p w14:paraId="4BD74945">
            <w:pPr>
              <w:rPr>
                <w:rFonts w:hint="eastAsia" w:ascii="宋体" w:hAnsi="宋体" w:eastAsia="宋体" w:cs="宋体"/>
                <w:i w:val="0"/>
                <w:iCs w:val="0"/>
                <w:color w:val="000000"/>
                <w:sz w:val="18"/>
                <w:szCs w:val="18"/>
                <w:u w:val="none"/>
              </w:rPr>
            </w:pPr>
          </w:p>
        </w:tc>
        <w:tc>
          <w:tcPr>
            <w:tcW w:w="1369" w:type="dxa"/>
            <w:tcBorders>
              <w:top w:val="nil"/>
              <w:left w:val="nil"/>
              <w:bottom w:val="nil"/>
              <w:right w:val="nil"/>
            </w:tcBorders>
            <w:shd w:val="clear" w:color="auto" w:fill="auto"/>
            <w:vAlign w:val="center"/>
          </w:tcPr>
          <w:p w14:paraId="6E855AD9">
            <w:pPr>
              <w:rPr>
                <w:rFonts w:hint="eastAsia" w:ascii="宋体" w:hAnsi="宋体" w:eastAsia="宋体" w:cs="宋体"/>
                <w:i w:val="0"/>
                <w:iCs w:val="0"/>
                <w:color w:val="000000"/>
                <w:sz w:val="18"/>
                <w:szCs w:val="18"/>
                <w:u w:val="none"/>
              </w:rPr>
            </w:pPr>
          </w:p>
        </w:tc>
        <w:tc>
          <w:tcPr>
            <w:tcW w:w="1187" w:type="dxa"/>
            <w:tcBorders>
              <w:top w:val="nil"/>
              <w:left w:val="nil"/>
              <w:bottom w:val="nil"/>
              <w:right w:val="nil"/>
            </w:tcBorders>
            <w:shd w:val="clear" w:color="auto" w:fill="auto"/>
            <w:vAlign w:val="center"/>
          </w:tcPr>
          <w:p w14:paraId="5597B5FB">
            <w:pPr>
              <w:rPr>
                <w:rFonts w:hint="eastAsia" w:ascii="宋体" w:hAnsi="宋体" w:eastAsia="宋体" w:cs="宋体"/>
                <w:i w:val="0"/>
                <w:iCs w:val="0"/>
                <w:color w:val="000000"/>
                <w:sz w:val="18"/>
                <w:szCs w:val="18"/>
                <w:u w:val="none"/>
              </w:rPr>
            </w:pPr>
          </w:p>
        </w:tc>
        <w:tc>
          <w:tcPr>
            <w:tcW w:w="1491" w:type="dxa"/>
            <w:tcBorders>
              <w:top w:val="nil"/>
              <w:left w:val="nil"/>
              <w:bottom w:val="nil"/>
              <w:right w:val="nil"/>
            </w:tcBorders>
            <w:shd w:val="clear" w:color="auto" w:fill="auto"/>
            <w:vAlign w:val="center"/>
          </w:tcPr>
          <w:p w14:paraId="1C3CA78A">
            <w:pPr>
              <w:rPr>
                <w:rFonts w:hint="eastAsia" w:ascii="宋体" w:hAnsi="宋体" w:eastAsia="宋体" w:cs="宋体"/>
                <w:i w:val="0"/>
                <w:iCs w:val="0"/>
                <w:color w:val="000000"/>
                <w:sz w:val="18"/>
                <w:szCs w:val="18"/>
                <w:u w:val="none"/>
              </w:rPr>
            </w:pPr>
          </w:p>
        </w:tc>
        <w:tc>
          <w:tcPr>
            <w:tcW w:w="420" w:type="dxa"/>
            <w:tcBorders>
              <w:top w:val="nil"/>
              <w:left w:val="nil"/>
              <w:bottom w:val="nil"/>
              <w:right w:val="nil"/>
            </w:tcBorders>
            <w:shd w:val="clear" w:color="auto" w:fill="auto"/>
            <w:vAlign w:val="center"/>
          </w:tcPr>
          <w:p w14:paraId="2F776F2E">
            <w:pPr>
              <w:rPr>
                <w:rFonts w:hint="eastAsia" w:ascii="宋体" w:hAnsi="宋体" w:eastAsia="宋体" w:cs="宋体"/>
                <w:i w:val="0"/>
                <w:iCs w:val="0"/>
                <w:color w:val="000000"/>
                <w:sz w:val="18"/>
                <w:szCs w:val="18"/>
                <w:u w:val="none"/>
              </w:rPr>
            </w:pPr>
          </w:p>
        </w:tc>
        <w:tc>
          <w:tcPr>
            <w:tcW w:w="1129" w:type="dxa"/>
            <w:tcBorders>
              <w:top w:val="nil"/>
              <w:left w:val="nil"/>
              <w:bottom w:val="nil"/>
              <w:right w:val="nil"/>
            </w:tcBorders>
            <w:shd w:val="clear" w:color="auto" w:fill="auto"/>
            <w:vAlign w:val="center"/>
          </w:tcPr>
          <w:p w14:paraId="23564E30">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14:paraId="5D303E1B">
            <w:pPr>
              <w:rPr>
                <w:rFonts w:hint="eastAsia" w:ascii="宋体" w:hAnsi="宋体" w:eastAsia="宋体" w:cs="宋体"/>
                <w:i w:val="0"/>
                <w:iCs w:val="0"/>
                <w:color w:val="000000"/>
                <w:sz w:val="18"/>
                <w:szCs w:val="18"/>
                <w:u w:val="none"/>
              </w:rPr>
            </w:pPr>
          </w:p>
        </w:tc>
        <w:tc>
          <w:tcPr>
            <w:tcW w:w="902" w:type="dxa"/>
            <w:tcBorders>
              <w:top w:val="nil"/>
              <w:left w:val="nil"/>
              <w:bottom w:val="nil"/>
              <w:right w:val="nil"/>
            </w:tcBorders>
            <w:shd w:val="clear" w:color="auto" w:fill="auto"/>
            <w:vAlign w:val="center"/>
          </w:tcPr>
          <w:p w14:paraId="2907EB4A">
            <w:pPr>
              <w:rPr>
                <w:rFonts w:hint="eastAsia" w:ascii="宋体" w:hAnsi="宋体" w:eastAsia="宋体" w:cs="宋体"/>
                <w:i w:val="0"/>
                <w:iCs w:val="0"/>
                <w:color w:val="000000"/>
                <w:sz w:val="18"/>
                <w:szCs w:val="18"/>
                <w:u w:val="none"/>
              </w:rPr>
            </w:pPr>
          </w:p>
        </w:tc>
        <w:tc>
          <w:tcPr>
            <w:tcW w:w="517" w:type="dxa"/>
            <w:tcBorders>
              <w:top w:val="nil"/>
              <w:left w:val="nil"/>
              <w:bottom w:val="nil"/>
              <w:right w:val="nil"/>
            </w:tcBorders>
            <w:shd w:val="clear" w:color="auto" w:fill="auto"/>
            <w:vAlign w:val="center"/>
          </w:tcPr>
          <w:p w14:paraId="4262E23E">
            <w:pPr>
              <w:rPr>
                <w:rFonts w:hint="eastAsia" w:ascii="宋体" w:hAnsi="宋体" w:eastAsia="宋体" w:cs="宋体"/>
                <w:i w:val="0"/>
                <w:iCs w:val="0"/>
                <w:color w:val="000000"/>
                <w:sz w:val="18"/>
                <w:szCs w:val="18"/>
                <w:u w:val="none"/>
              </w:rPr>
            </w:pPr>
          </w:p>
        </w:tc>
        <w:tc>
          <w:tcPr>
            <w:tcW w:w="494" w:type="dxa"/>
            <w:tcBorders>
              <w:top w:val="nil"/>
              <w:left w:val="nil"/>
              <w:bottom w:val="nil"/>
              <w:right w:val="nil"/>
            </w:tcBorders>
            <w:shd w:val="clear" w:color="auto" w:fill="auto"/>
            <w:vAlign w:val="center"/>
          </w:tcPr>
          <w:p w14:paraId="61CBEA98">
            <w:pPr>
              <w:rPr>
                <w:rFonts w:hint="eastAsia" w:ascii="宋体" w:hAnsi="宋体" w:eastAsia="宋体" w:cs="宋体"/>
                <w:i w:val="0"/>
                <w:iCs w:val="0"/>
                <w:color w:val="000000"/>
                <w:sz w:val="18"/>
                <w:szCs w:val="18"/>
                <w:u w:val="none"/>
              </w:rPr>
            </w:pPr>
          </w:p>
        </w:tc>
        <w:tc>
          <w:tcPr>
            <w:tcW w:w="1768" w:type="dxa"/>
            <w:tcBorders>
              <w:top w:val="nil"/>
              <w:left w:val="nil"/>
              <w:bottom w:val="nil"/>
              <w:right w:val="nil"/>
            </w:tcBorders>
            <w:shd w:val="clear" w:color="auto" w:fill="auto"/>
            <w:vAlign w:val="center"/>
          </w:tcPr>
          <w:p w14:paraId="74CD7829">
            <w:pPr>
              <w:rPr>
                <w:rFonts w:hint="eastAsia" w:ascii="宋体" w:hAnsi="宋体" w:eastAsia="宋体" w:cs="宋体"/>
                <w:i w:val="0"/>
                <w:iCs w:val="0"/>
                <w:color w:val="000000"/>
                <w:sz w:val="18"/>
                <w:szCs w:val="18"/>
                <w:u w:val="none"/>
              </w:rPr>
            </w:pPr>
          </w:p>
        </w:tc>
      </w:tr>
    </w:tbl>
    <w:tbl>
      <w:tblPr>
        <w:tblStyle w:val="14"/>
        <w:tblpPr w:leftFromText="180" w:rightFromText="180" w:vertAnchor="text" w:horzAnchor="page" w:tblpX="1410" w:tblpY="329"/>
        <w:tblOverlap w:val="never"/>
        <w:tblW w:w="10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1394"/>
        <w:gridCol w:w="1226"/>
        <w:gridCol w:w="1540"/>
        <w:gridCol w:w="418"/>
        <w:gridCol w:w="1140"/>
        <w:gridCol w:w="424"/>
        <w:gridCol w:w="895"/>
        <w:gridCol w:w="513"/>
        <w:gridCol w:w="418"/>
        <w:gridCol w:w="1763"/>
      </w:tblGrid>
      <w:tr w14:paraId="23BAE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0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1E81160">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E661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18B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3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29743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51190221T000000167867-社区矫正经费</w:t>
            </w:r>
          </w:p>
        </w:tc>
      </w:tr>
      <w:tr w14:paraId="3B218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F94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3573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司法局</w:t>
            </w:r>
          </w:p>
        </w:tc>
        <w:tc>
          <w:tcPr>
            <w:tcW w:w="895" w:type="dxa"/>
            <w:tcBorders>
              <w:top w:val="nil"/>
              <w:left w:val="nil"/>
              <w:bottom w:val="nil"/>
              <w:right w:val="nil"/>
            </w:tcBorders>
            <w:shd w:val="clear" w:color="auto" w:fill="auto"/>
            <w:vAlign w:val="center"/>
          </w:tcPr>
          <w:p w14:paraId="388A2668">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6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E4A8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巴中市巴州区司法局</w:t>
            </w:r>
          </w:p>
        </w:tc>
      </w:tr>
      <w:tr w14:paraId="04DA5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FBF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669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B73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5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1F4F0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FC03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33482">
            <w:pPr>
              <w:rPr>
                <w:rFonts w:hint="eastAsia" w:ascii="宋体" w:hAnsi="宋体" w:eastAsia="宋体" w:cs="宋体"/>
                <w:i w:val="0"/>
                <w:iCs w:val="0"/>
                <w:color w:val="000000"/>
                <w:sz w:val="18"/>
                <w:szCs w:val="18"/>
                <w:u w:val="none"/>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25FFE">
            <w:pPr>
              <w:rPr>
                <w:rFonts w:hint="eastAsia" w:ascii="宋体" w:hAnsi="宋体" w:eastAsia="宋体" w:cs="宋体"/>
                <w:i w:val="0"/>
                <w:iCs w:val="0"/>
                <w:color w:val="000000"/>
                <w:sz w:val="18"/>
                <w:szCs w:val="18"/>
                <w:u w:val="none"/>
              </w:rPr>
            </w:pPr>
          </w:p>
        </w:tc>
        <w:tc>
          <w:tcPr>
            <w:tcW w:w="47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05D8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指导管理全区社区矫正工作，社区矫正对象在社区服刑，运用社会工作方法，整合社会资源和力量对其进行教育改造，极大程度地预防和减少重新犯罪，维护社会稳定。</w:t>
            </w:r>
          </w:p>
        </w:tc>
        <w:tc>
          <w:tcPr>
            <w:tcW w:w="35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BFA2C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深化社区矫正狱地协作，强化政法机关、职能部门协作配合，顺利完成智慧矫正中心建设，开展矫正对象集中心理矫治3场次、监狱“沉浸式警示”教育200余人，全年列管矫正对象697人。</w:t>
            </w:r>
          </w:p>
        </w:tc>
      </w:tr>
      <w:tr w14:paraId="25C47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3FF36">
            <w:pP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C4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3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7DD0ED">
            <w:pPr>
              <w:rPr>
                <w:rFonts w:hint="eastAsia" w:ascii="宋体" w:hAnsi="宋体" w:eastAsia="宋体" w:cs="宋体"/>
                <w:i w:val="0"/>
                <w:iCs w:val="0"/>
                <w:color w:val="000000"/>
                <w:sz w:val="18"/>
                <w:szCs w:val="18"/>
                <w:u w:val="none"/>
              </w:rPr>
            </w:pPr>
          </w:p>
        </w:tc>
      </w:tr>
      <w:tr w14:paraId="184FF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DD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3F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33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C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F9C2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9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B3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5C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99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82A5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9DD02">
            <w:pPr>
              <w:jc w:val="cente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B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EF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1D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7220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34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B2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5599">
            <w:pPr>
              <w:jc w:val="center"/>
              <w:rPr>
                <w:rFonts w:hint="eastAsia" w:ascii="宋体" w:hAnsi="宋体" w:eastAsia="宋体" w:cs="宋体"/>
                <w:i w:val="0"/>
                <w:iCs w:val="0"/>
                <w:color w:val="000000"/>
                <w:sz w:val="18"/>
                <w:szCs w:val="18"/>
                <w:u w:val="none"/>
              </w:rPr>
            </w:pPr>
          </w:p>
        </w:tc>
        <w:tc>
          <w:tcPr>
            <w:tcW w:w="1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6FDE2">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7E6CD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328DC">
            <w:pPr>
              <w:jc w:val="cente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38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1B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3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7AED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FF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A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E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CF7D0">
            <w:pPr>
              <w:rPr>
                <w:rFonts w:hint="eastAsia" w:ascii="黑体" w:hAnsi="黑体" w:eastAsia="黑体" w:cs="黑体"/>
                <w:i/>
                <w:iCs/>
                <w:color w:val="000000"/>
                <w:sz w:val="18"/>
                <w:szCs w:val="18"/>
                <w:u w:val="none"/>
              </w:rPr>
            </w:pPr>
          </w:p>
        </w:tc>
      </w:tr>
      <w:tr w14:paraId="4CA41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330D7">
            <w:pPr>
              <w:jc w:val="cente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D6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19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4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A32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3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DE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A3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22B38">
            <w:pPr>
              <w:rPr>
                <w:rFonts w:hint="eastAsia" w:ascii="黑体" w:hAnsi="黑体" w:eastAsia="黑体" w:cs="黑体"/>
                <w:i/>
                <w:iCs/>
                <w:color w:val="000000"/>
                <w:sz w:val="18"/>
                <w:szCs w:val="18"/>
                <w:u w:val="none"/>
              </w:rPr>
            </w:pPr>
          </w:p>
        </w:tc>
      </w:tr>
      <w:tr w14:paraId="07969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D9C62">
            <w:pPr>
              <w:jc w:val="cente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F0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CD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C5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39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0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AA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D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A2D25">
            <w:pPr>
              <w:rPr>
                <w:rFonts w:hint="eastAsia" w:ascii="黑体" w:hAnsi="黑体" w:eastAsia="黑体" w:cs="黑体"/>
                <w:i/>
                <w:iCs/>
                <w:color w:val="000000"/>
                <w:sz w:val="18"/>
                <w:szCs w:val="18"/>
                <w:u w:val="none"/>
              </w:rPr>
            </w:pPr>
          </w:p>
        </w:tc>
      </w:tr>
      <w:tr w14:paraId="20C8C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A595A">
            <w:pPr>
              <w:jc w:val="cente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3E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A0DE">
            <w:pPr>
              <w:jc w:val="center"/>
              <w:rPr>
                <w:rFonts w:hint="eastAsia" w:ascii="微软雅黑" w:hAnsi="微软雅黑" w:eastAsia="微软雅黑" w:cs="微软雅黑"/>
                <w:i/>
                <w:iCs/>
                <w:color w:val="000000"/>
                <w:sz w:val="16"/>
                <w:szCs w:val="16"/>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F686">
            <w:pPr>
              <w:jc w:val="center"/>
              <w:rPr>
                <w:rFonts w:hint="eastAsia" w:ascii="微软雅黑" w:hAnsi="微软雅黑" w:eastAsia="微软雅黑" w:cs="微软雅黑"/>
                <w:i/>
                <w:iCs/>
                <w:color w:val="000000"/>
                <w:sz w:val="16"/>
                <w:szCs w:val="16"/>
                <w:u w:val="none"/>
              </w:rPr>
            </w:pPr>
          </w:p>
        </w:tc>
        <w:tc>
          <w:tcPr>
            <w:tcW w:w="1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E0E1C3">
            <w:pPr>
              <w:jc w:val="center"/>
              <w:rPr>
                <w:rFonts w:hint="eastAsia" w:ascii="微软雅黑" w:hAnsi="微软雅黑" w:eastAsia="微软雅黑" w:cs="微软雅黑"/>
                <w:i/>
                <w:iCs/>
                <w:color w:val="000000"/>
                <w:sz w:val="16"/>
                <w:szCs w:val="16"/>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147B">
            <w:pPr>
              <w:jc w:val="center"/>
              <w:rPr>
                <w:rFonts w:hint="eastAsia" w:ascii="微软雅黑" w:hAnsi="微软雅黑" w:eastAsia="微软雅黑" w:cs="微软雅黑"/>
                <w:i/>
                <w:iCs/>
                <w:color w:val="000000"/>
                <w:sz w:val="16"/>
                <w:szCs w:val="16"/>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07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D2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3599E">
            <w:pPr>
              <w:rPr>
                <w:rFonts w:hint="eastAsia" w:ascii="黑体" w:hAnsi="黑体" w:eastAsia="黑体" w:cs="黑体"/>
                <w:i/>
                <w:iCs/>
                <w:color w:val="000000"/>
                <w:sz w:val="18"/>
                <w:szCs w:val="18"/>
                <w:u w:val="none"/>
              </w:rPr>
            </w:pPr>
          </w:p>
        </w:tc>
      </w:tr>
      <w:tr w14:paraId="2525E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32C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D0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20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9F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D0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F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1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0F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4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92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B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9C5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E2CF8">
            <w:pPr>
              <w:jc w:val="center"/>
              <w:rPr>
                <w:rFonts w:hint="eastAsia" w:ascii="宋体" w:hAnsi="宋体" w:eastAsia="宋体" w:cs="宋体"/>
                <w:i w:val="0"/>
                <w:iCs w:val="0"/>
                <w:color w:val="000000"/>
                <w:sz w:val="18"/>
                <w:szCs w:val="18"/>
                <w:u w:val="none"/>
              </w:rPr>
            </w:pP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403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E1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52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社区矫正执法培训人数</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74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64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86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FB22">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4E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ED57">
            <w:pPr>
              <w:jc w:val="center"/>
              <w:rPr>
                <w:rFonts w:hint="eastAsia" w:ascii="宋体" w:hAnsi="宋体" w:eastAsia="宋体" w:cs="宋体"/>
                <w:i w:val="0"/>
                <w:iCs w:val="0"/>
                <w:color w:val="000000"/>
                <w:sz w:val="18"/>
                <w:szCs w:val="18"/>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1CD9">
            <w:pPr>
              <w:jc w:val="center"/>
              <w:rPr>
                <w:rFonts w:hint="eastAsia" w:ascii="微软雅黑" w:hAnsi="微软雅黑" w:eastAsia="微软雅黑" w:cs="微软雅黑"/>
                <w:i/>
                <w:iCs/>
                <w:color w:val="000000"/>
                <w:sz w:val="16"/>
                <w:szCs w:val="16"/>
                <w:u w:val="none"/>
              </w:rPr>
            </w:pPr>
          </w:p>
        </w:tc>
      </w:tr>
      <w:tr w14:paraId="13F25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35C93">
            <w:pPr>
              <w:jc w:val="center"/>
              <w:rPr>
                <w:rFonts w:hint="eastAsia" w:ascii="宋体" w:hAnsi="宋体" w:eastAsia="宋体" w:cs="宋体"/>
                <w:i w:val="0"/>
                <w:iCs w:val="0"/>
                <w:color w:val="000000"/>
                <w:sz w:val="18"/>
                <w:szCs w:val="18"/>
                <w:u w:val="none"/>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E392D">
            <w:pPr>
              <w:jc w:val="center"/>
              <w:rPr>
                <w:rFonts w:hint="eastAsia" w:ascii="宋体" w:hAnsi="宋体" w:eastAsia="宋体" w:cs="宋体"/>
                <w:i w:val="0"/>
                <w:iCs w:val="0"/>
                <w:color w:val="000000"/>
                <w:sz w:val="18"/>
                <w:szCs w:val="18"/>
                <w:u w:val="none"/>
              </w:rPr>
            </w:pP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40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5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社区矫正人员服务时间达标率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5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5B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98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C24B">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3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5058">
            <w:pPr>
              <w:jc w:val="center"/>
              <w:rPr>
                <w:rFonts w:hint="eastAsia" w:ascii="宋体" w:hAnsi="宋体" w:eastAsia="宋体" w:cs="宋体"/>
                <w:i w:val="0"/>
                <w:iCs w:val="0"/>
                <w:color w:val="000000"/>
                <w:sz w:val="18"/>
                <w:szCs w:val="18"/>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D3F3">
            <w:pPr>
              <w:jc w:val="center"/>
              <w:rPr>
                <w:rFonts w:hint="eastAsia" w:ascii="微软雅黑" w:hAnsi="微软雅黑" w:eastAsia="微软雅黑" w:cs="微软雅黑"/>
                <w:i/>
                <w:iCs/>
                <w:color w:val="000000"/>
                <w:sz w:val="16"/>
                <w:szCs w:val="16"/>
                <w:u w:val="none"/>
              </w:rPr>
            </w:pPr>
          </w:p>
        </w:tc>
      </w:tr>
      <w:tr w14:paraId="5BB3D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E58E4">
            <w:pPr>
              <w:jc w:val="center"/>
              <w:rPr>
                <w:rFonts w:hint="eastAsia" w:ascii="宋体" w:hAnsi="宋体" w:eastAsia="宋体" w:cs="宋体"/>
                <w:i w:val="0"/>
                <w:iCs w:val="0"/>
                <w:color w:val="000000"/>
                <w:sz w:val="18"/>
                <w:szCs w:val="18"/>
                <w:u w:val="none"/>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F5B48">
            <w:pPr>
              <w:jc w:val="center"/>
              <w:rPr>
                <w:rFonts w:hint="eastAsia" w:ascii="宋体" w:hAnsi="宋体" w:eastAsia="宋体" w:cs="宋体"/>
                <w:i w:val="0"/>
                <w:iCs w:val="0"/>
                <w:color w:val="000000"/>
                <w:sz w:val="18"/>
                <w:szCs w:val="18"/>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351E5">
            <w:pPr>
              <w:jc w:val="center"/>
              <w:rPr>
                <w:rFonts w:hint="eastAsia" w:ascii="宋体" w:hAnsi="宋体" w:eastAsia="宋体" w:cs="宋体"/>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3D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社区矫正人员学习时间达标率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A4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7B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05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0305">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0A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0D4C">
            <w:pPr>
              <w:jc w:val="center"/>
              <w:rPr>
                <w:rFonts w:hint="eastAsia" w:ascii="宋体" w:hAnsi="宋体" w:eastAsia="宋体" w:cs="宋体"/>
                <w:i w:val="0"/>
                <w:iCs w:val="0"/>
                <w:color w:val="000000"/>
                <w:sz w:val="18"/>
                <w:szCs w:val="18"/>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37D6">
            <w:pPr>
              <w:jc w:val="center"/>
              <w:rPr>
                <w:rFonts w:hint="eastAsia" w:ascii="微软雅黑" w:hAnsi="微软雅黑" w:eastAsia="微软雅黑" w:cs="微软雅黑"/>
                <w:i/>
                <w:iCs/>
                <w:color w:val="000000"/>
                <w:sz w:val="16"/>
                <w:szCs w:val="16"/>
                <w:u w:val="none"/>
              </w:rPr>
            </w:pPr>
          </w:p>
        </w:tc>
      </w:tr>
      <w:tr w14:paraId="6E98F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49044">
            <w:pPr>
              <w:jc w:val="cente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AB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68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94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刑释人员重新犯罪率</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22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6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FF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30DE">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36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6069">
            <w:pPr>
              <w:jc w:val="center"/>
              <w:rPr>
                <w:rFonts w:hint="eastAsia" w:ascii="宋体" w:hAnsi="宋体" w:eastAsia="宋体" w:cs="宋体"/>
                <w:i w:val="0"/>
                <w:iCs w:val="0"/>
                <w:color w:val="000000"/>
                <w:sz w:val="18"/>
                <w:szCs w:val="18"/>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957E">
            <w:pPr>
              <w:jc w:val="center"/>
              <w:rPr>
                <w:rFonts w:hint="eastAsia" w:ascii="微软雅黑" w:hAnsi="微软雅黑" w:eastAsia="微软雅黑" w:cs="微软雅黑"/>
                <w:i/>
                <w:iCs/>
                <w:color w:val="000000"/>
                <w:sz w:val="16"/>
                <w:szCs w:val="16"/>
                <w:u w:val="none"/>
              </w:rPr>
            </w:pPr>
          </w:p>
        </w:tc>
      </w:tr>
      <w:tr w14:paraId="3BAED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2A2E4">
            <w:pPr>
              <w:jc w:val="center"/>
              <w:rPr>
                <w:rFonts w:hint="eastAsia" w:ascii="宋体" w:hAnsi="宋体" w:eastAsia="宋体" w:cs="宋体"/>
                <w:i w:val="0"/>
                <w:iCs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FB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99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D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社区矫正人员满意度</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8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20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4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E469">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98</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77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C326">
            <w:pPr>
              <w:jc w:val="center"/>
              <w:rPr>
                <w:rFonts w:hint="eastAsia" w:ascii="宋体" w:hAnsi="宋体" w:eastAsia="宋体" w:cs="宋体"/>
                <w:i w:val="0"/>
                <w:iCs w:val="0"/>
                <w:color w:val="000000"/>
                <w:sz w:val="18"/>
                <w:szCs w:val="18"/>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7862">
            <w:pPr>
              <w:jc w:val="center"/>
              <w:rPr>
                <w:rFonts w:hint="eastAsia" w:ascii="微软雅黑" w:hAnsi="微软雅黑" w:eastAsia="微软雅黑" w:cs="微软雅黑"/>
                <w:i/>
                <w:iCs/>
                <w:color w:val="000000"/>
                <w:sz w:val="16"/>
                <w:szCs w:val="16"/>
                <w:u w:val="none"/>
              </w:rPr>
            </w:pPr>
          </w:p>
        </w:tc>
      </w:tr>
      <w:tr w14:paraId="0C75C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764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287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5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1BB9">
            <w:pPr>
              <w:rPr>
                <w:rFonts w:hint="eastAsia" w:ascii="宋体" w:hAnsi="宋体" w:eastAsia="宋体" w:cs="宋体"/>
                <w:i w:val="0"/>
                <w:iCs w:val="0"/>
                <w:color w:val="000000"/>
                <w:sz w:val="18"/>
                <w:szCs w:val="18"/>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1298">
            <w:pPr>
              <w:rPr>
                <w:rFonts w:hint="eastAsia" w:ascii="宋体" w:hAnsi="宋体" w:eastAsia="宋体" w:cs="宋体"/>
                <w:i w:val="0"/>
                <w:iCs w:val="0"/>
                <w:color w:val="000000"/>
                <w:sz w:val="18"/>
                <w:szCs w:val="18"/>
                <w:u w:val="none"/>
              </w:rPr>
            </w:pPr>
          </w:p>
        </w:tc>
      </w:tr>
      <w:tr w14:paraId="3DAA6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56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7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A70E99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项目自评总分为100分，严格执行监督管理手段、措施，督促社区矫正对象遵守法律法规、禁止令和各项监督管理规定，运用教育帮扶方法，开展教育矫治和困难帮扶，减少和预防犯罪率，维护社会和谐稳定。</w:t>
            </w:r>
          </w:p>
        </w:tc>
      </w:tr>
      <w:tr w14:paraId="69DC4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8D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7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B2023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456C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A0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73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3D2D9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6282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5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D11DE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1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A31B0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tbl>
      <w:tblPr>
        <w:tblStyle w:val="14"/>
        <w:tblpPr w:leftFromText="180" w:rightFromText="180" w:vertAnchor="text" w:horzAnchor="page" w:tblpX="1050" w:tblpY="444"/>
        <w:tblOverlap w:val="never"/>
        <w:tblW w:w="10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3"/>
        <w:gridCol w:w="1433"/>
        <w:gridCol w:w="1246"/>
        <w:gridCol w:w="1570"/>
        <w:gridCol w:w="429"/>
        <w:gridCol w:w="1157"/>
        <w:gridCol w:w="440"/>
        <w:gridCol w:w="918"/>
        <w:gridCol w:w="528"/>
        <w:gridCol w:w="486"/>
        <w:gridCol w:w="1810"/>
      </w:tblGrid>
      <w:tr w14:paraId="6306B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4" w:hRule="atLeast"/>
        </w:trPr>
        <w:tc>
          <w:tcPr>
            <w:tcW w:w="10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B999012">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E061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973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58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9503A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51190221T000000167838-依法治区工作经费</w:t>
            </w:r>
          </w:p>
        </w:tc>
      </w:tr>
      <w:tr w14:paraId="7F4A3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8B8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E53B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司法局</w:t>
            </w:r>
          </w:p>
        </w:tc>
        <w:tc>
          <w:tcPr>
            <w:tcW w:w="918" w:type="dxa"/>
            <w:tcBorders>
              <w:top w:val="nil"/>
              <w:left w:val="nil"/>
              <w:bottom w:val="nil"/>
              <w:right w:val="nil"/>
            </w:tcBorders>
            <w:shd w:val="clear" w:color="auto" w:fill="auto"/>
            <w:vAlign w:val="center"/>
          </w:tcPr>
          <w:p w14:paraId="62832FDE">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DC1A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巴中市巴州区司法局</w:t>
            </w:r>
          </w:p>
        </w:tc>
      </w:tr>
      <w:tr w14:paraId="2E388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A50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7A3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B31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7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F96A1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2281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8"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CE1EA">
            <w:pPr>
              <w:rPr>
                <w:rFonts w:hint="eastAsia" w:ascii="宋体" w:hAnsi="宋体" w:eastAsia="宋体" w:cs="宋体"/>
                <w:i w:val="0"/>
                <w:iCs w:val="0"/>
                <w:color w:val="000000"/>
                <w:sz w:val="18"/>
                <w:szCs w:val="18"/>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ADC2B">
            <w:pPr>
              <w:rPr>
                <w:rFonts w:hint="eastAsia" w:ascii="宋体" w:hAnsi="宋体" w:eastAsia="宋体" w:cs="宋体"/>
                <w:i w:val="0"/>
                <w:iCs w:val="0"/>
                <w:color w:val="000000"/>
                <w:sz w:val="18"/>
                <w:szCs w:val="18"/>
                <w:u w:val="none"/>
              </w:rPr>
            </w:pPr>
          </w:p>
        </w:tc>
        <w:tc>
          <w:tcPr>
            <w:tcW w:w="48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27A3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坚持以习近平新时代中国特色社会主义思想为指导，全面贯彻党的十九大和十九届二中、三中、四中、五中全会精神，深入学习践行习近平法治思想，坚决落实中央、省、市、区委关于法治建设决策部署，统筹推进全面依法治区各项工作，真正形成办事依法、遇事找法、解决问题用法、化解矛盾靠法的法治良序，为全面建设社会主义现代化巴州开好局起好步，提供坚实的法治保障。</w:t>
            </w:r>
          </w:p>
        </w:tc>
        <w:tc>
          <w:tcPr>
            <w:tcW w:w="37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CA8AC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务实解决法治建设“九个具体问题”，持续深化“1+8”示范试点成果巴州实践，先后培树天马山镇狮子寨村“三合三共”、回风街道“三重三抓”等基层依法治理典型做法10个，1个区级部门、3个乡镇（街道）、2个村（社区）被表扬为全面依法治市先进集体，天马山镇狮子寨村、化成镇长潭河村、回风街道津桥湖社区被评为“省级民治法治示范村（社区）”。</w:t>
            </w:r>
          </w:p>
        </w:tc>
      </w:tr>
      <w:tr w14:paraId="408DB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C9D46">
            <w:pPr>
              <w:rPr>
                <w:rFonts w:hint="eastAsia" w:ascii="宋体" w:hAnsi="宋体" w:eastAsia="宋体" w:cs="宋体"/>
                <w:i w:val="0"/>
                <w:iCs w:val="0"/>
                <w:color w:val="000000"/>
                <w:sz w:val="18"/>
                <w:szCs w:val="18"/>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39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58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AC63A6">
            <w:pPr>
              <w:rPr>
                <w:rFonts w:hint="eastAsia" w:ascii="宋体" w:hAnsi="宋体" w:eastAsia="宋体" w:cs="宋体"/>
                <w:i w:val="0"/>
                <w:iCs w:val="0"/>
                <w:color w:val="000000"/>
                <w:sz w:val="18"/>
                <w:szCs w:val="18"/>
                <w:u w:val="none"/>
              </w:rPr>
            </w:pPr>
          </w:p>
        </w:tc>
      </w:tr>
      <w:tr w14:paraId="1DBA9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9A1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5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8B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2F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16D6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EF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6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59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00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FE6D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EB41E">
            <w:pPr>
              <w:jc w:val="center"/>
              <w:rPr>
                <w:rFonts w:hint="eastAsia" w:ascii="宋体" w:hAnsi="宋体" w:eastAsia="宋体" w:cs="宋体"/>
                <w:i w:val="0"/>
                <w:iCs w:val="0"/>
                <w:color w:val="000000"/>
                <w:sz w:val="18"/>
                <w:szCs w:val="18"/>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4C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A9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47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2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5B6F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7C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6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8CC1">
            <w:pPr>
              <w:jc w:val="center"/>
              <w:rPr>
                <w:rFonts w:hint="eastAsia" w:ascii="宋体" w:hAnsi="宋体" w:eastAsia="宋体" w:cs="宋体"/>
                <w:i w:val="0"/>
                <w:iCs w:val="0"/>
                <w:color w:val="000000"/>
                <w:sz w:val="18"/>
                <w:szCs w:val="18"/>
                <w:u w:val="none"/>
              </w:rPr>
            </w:pPr>
          </w:p>
        </w:tc>
        <w:tc>
          <w:tcPr>
            <w:tcW w:w="1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FA2C6">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77A72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2C225">
            <w:pPr>
              <w:jc w:val="center"/>
              <w:rPr>
                <w:rFonts w:hint="eastAsia" w:ascii="宋体" w:hAnsi="宋体" w:eastAsia="宋体" w:cs="宋体"/>
                <w:i w:val="0"/>
                <w:iCs w:val="0"/>
                <w:color w:val="000000"/>
                <w:sz w:val="18"/>
                <w:szCs w:val="18"/>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FD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E2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87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2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21D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4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47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45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E0765">
            <w:pPr>
              <w:rPr>
                <w:rFonts w:hint="eastAsia" w:ascii="黑体" w:hAnsi="黑体" w:eastAsia="黑体" w:cs="黑体"/>
                <w:i/>
                <w:iCs/>
                <w:color w:val="000000"/>
                <w:sz w:val="18"/>
                <w:szCs w:val="18"/>
                <w:u w:val="none"/>
              </w:rPr>
            </w:pPr>
          </w:p>
        </w:tc>
      </w:tr>
      <w:tr w14:paraId="16443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95A18">
            <w:pPr>
              <w:jc w:val="center"/>
              <w:rPr>
                <w:rFonts w:hint="eastAsia" w:ascii="宋体" w:hAnsi="宋体" w:eastAsia="宋体" w:cs="宋体"/>
                <w:i w:val="0"/>
                <w:iCs w:val="0"/>
                <w:color w:val="000000"/>
                <w:sz w:val="18"/>
                <w:szCs w:val="18"/>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4A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4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7D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796E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3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BB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B3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11091">
            <w:pPr>
              <w:rPr>
                <w:rFonts w:hint="eastAsia" w:ascii="黑体" w:hAnsi="黑体" w:eastAsia="黑体" w:cs="黑体"/>
                <w:i/>
                <w:iCs/>
                <w:color w:val="000000"/>
                <w:sz w:val="18"/>
                <w:szCs w:val="18"/>
                <w:u w:val="none"/>
              </w:rPr>
            </w:pPr>
          </w:p>
        </w:tc>
      </w:tr>
      <w:tr w14:paraId="7CDD8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9DEBA">
            <w:pPr>
              <w:jc w:val="center"/>
              <w:rPr>
                <w:rFonts w:hint="eastAsia" w:ascii="宋体" w:hAnsi="宋体" w:eastAsia="宋体" w:cs="宋体"/>
                <w:i w:val="0"/>
                <w:iCs w:val="0"/>
                <w:color w:val="000000"/>
                <w:sz w:val="18"/>
                <w:szCs w:val="18"/>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6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0A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5B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6981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6D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A1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9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60839">
            <w:pPr>
              <w:rPr>
                <w:rFonts w:hint="eastAsia" w:ascii="黑体" w:hAnsi="黑体" w:eastAsia="黑体" w:cs="黑体"/>
                <w:i/>
                <w:iCs/>
                <w:color w:val="000000"/>
                <w:sz w:val="18"/>
                <w:szCs w:val="18"/>
                <w:u w:val="none"/>
              </w:rPr>
            </w:pPr>
          </w:p>
        </w:tc>
      </w:tr>
      <w:tr w14:paraId="762C0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7110F">
            <w:pPr>
              <w:jc w:val="center"/>
              <w:rPr>
                <w:rFonts w:hint="eastAsia" w:ascii="宋体" w:hAnsi="宋体" w:eastAsia="宋体" w:cs="宋体"/>
                <w:i w:val="0"/>
                <w:iCs w:val="0"/>
                <w:color w:val="000000"/>
                <w:sz w:val="18"/>
                <w:szCs w:val="18"/>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B6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44B8">
            <w:pPr>
              <w:jc w:val="center"/>
              <w:rPr>
                <w:rFonts w:hint="eastAsia" w:ascii="微软雅黑" w:hAnsi="微软雅黑" w:eastAsia="微软雅黑" w:cs="微软雅黑"/>
                <w:i/>
                <w:iCs/>
                <w:color w:val="000000"/>
                <w:sz w:val="16"/>
                <w:szCs w:val="16"/>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6569">
            <w:pPr>
              <w:jc w:val="center"/>
              <w:rPr>
                <w:rFonts w:hint="eastAsia" w:ascii="微软雅黑" w:hAnsi="微软雅黑" w:eastAsia="微软雅黑" w:cs="微软雅黑"/>
                <w:i/>
                <w:iCs/>
                <w:color w:val="000000"/>
                <w:sz w:val="16"/>
                <w:szCs w:val="16"/>
                <w:u w:val="none"/>
              </w:rPr>
            </w:pPr>
          </w:p>
        </w:tc>
        <w:tc>
          <w:tcPr>
            <w:tcW w:w="2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8DE68C">
            <w:pPr>
              <w:jc w:val="center"/>
              <w:rPr>
                <w:rFonts w:hint="eastAsia" w:ascii="微软雅黑" w:hAnsi="微软雅黑" w:eastAsia="微软雅黑" w:cs="微软雅黑"/>
                <w:i/>
                <w:iCs/>
                <w:color w:val="000000"/>
                <w:sz w:val="16"/>
                <w:szCs w:val="16"/>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45EA">
            <w:pPr>
              <w:jc w:val="center"/>
              <w:rPr>
                <w:rFonts w:hint="eastAsia" w:ascii="微软雅黑" w:hAnsi="微软雅黑" w:eastAsia="微软雅黑" w:cs="微软雅黑"/>
                <w:i/>
                <w:iCs/>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6E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47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543B0">
            <w:pPr>
              <w:rPr>
                <w:rFonts w:hint="eastAsia" w:ascii="黑体" w:hAnsi="黑体" w:eastAsia="黑体" w:cs="黑体"/>
                <w:i/>
                <w:iCs/>
                <w:color w:val="000000"/>
                <w:sz w:val="18"/>
                <w:szCs w:val="18"/>
                <w:u w:val="none"/>
              </w:rPr>
            </w:pPr>
          </w:p>
        </w:tc>
      </w:tr>
      <w:tr w14:paraId="6E07B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661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6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9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F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67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F9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BD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0E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CB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2D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44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33B0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1"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BCB9E">
            <w:pPr>
              <w:jc w:val="center"/>
              <w:rPr>
                <w:rFonts w:hint="eastAsia" w:ascii="宋体" w:hAnsi="宋体" w:eastAsia="宋体" w:cs="宋体"/>
                <w:i w:val="0"/>
                <w:iCs w:val="0"/>
                <w:color w:val="000000"/>
                <w:sz w:val="18"/>
                <w:szCs w:val="18"/>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B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4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5F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统筹推进依法执政、依法行政、公正司法、全民守法、社会法治，实现法治巴州、法治政府、法治社会一体建设</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93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CB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E3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1F5C">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高</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2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1290">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E2EE">
            <w:pPr>
              <w:jc w:val="center"/>
              <w:rPr>
                <w:rFonts w:hint="eastAsia" w:ascii="微软雅黑" w:hAnsi="微软雅黑" w:eastAsia="微软雅黑" w:cs="微软雅黑"/>
                <w:i/>
                <w:iCs/>
                <w:color w:val="000000"/>
                <w:sz w:val="16"/>
                <w:szCs w:val="16"/>
                <w:u w:val="none"/>
              </w:rPr>
            </w:pPr>
          </w:p>
        </w:tc>
      </w:tr>
      <w:tr w14:paraId="76475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9A276">
            <w:pPr>
              <w:jc w:val="center"/>
              <w:rPr>
                <w:rFonts w:hint="eastAsia" w:ascii="宋体" w:hAnsi="宋体" w:eastAsia="宋体" w:cs="宋体"/>
                <w:i w:val="0"/>
                <w:iCs w:val="0"/>
                <w:color w:val="000000"/>
                <w:sz w:val="18"/>
                <w:szCs w:val="18"/>
                <w:u w:val="none"/>
              </w:rPr>
            </w:pP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35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85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67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全区法治建设水平显著提升，人民群众法治获得感、幸福感显著增强。</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1D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04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52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EB7B">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优</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F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F19B">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85B5">
            <w:pPr>
              <w:jc w:val="center"/>
              <w:rPr>
                <w:rFonts w:hint="eastAsia" w:ascii="微软雅黑" w:hAnsi="微软雅黑" w:eastAsia="微软雅黑" w:cs="微软雅黑"/>
                <w:i/>
                <w:iCs/>
                <w:color w:val="000000"/>
                <w:sz w:val="16"/>
                <w:szCs w:val="16"/>
                <w:u w:val="none"/>
              </w:rPr>
            </w:pPr>
          </w:p>
        </w:tc>
      </w:tr>
      <w:tr w14:paraId="6EE52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6"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CED03">
            <w:pPr>
              <w:jc w:val="center"/>
              <w:rPr>
                <w:rFonts w:hint="eastAsia" w:ascii="宋体" w:hAnsi="宋体" w:eastAsia="宋体" w:cs="宋体"/>
                <w:i w:val="0"/>
                <w:iCs w:val="0"/>
                <w:color w:val="000000"/>
                <w:sz w:val="18"/>
                <w:szCs w:val="18"/>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83182">
            <w:pPr>
              <w:jc w:val="center"/>
              <w:rPr>
                <w:rFonts w:hint="eastAsia" w:ascii="宋体" w:hAnsi="宋体" w:eastAsia="宋体" w:cs="宋体"/>
                <w:i w:val="0"/>
                <w:iCs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45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6E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社会形成办事依法、遇事找法、解决问题用法、化解矛盾靠法的法治良序</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1B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F4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4A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5A41">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优</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6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756D">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A582">
            <w:pPr>
              <w:jc w:val="center"/>
              <w:rPr>
                <w:rFonts w:hint="eastAsia" w:ascii="微软雅黑" w:hAnsi="微软雅黑" w:eastAsia="微软雅黑" w:cs="微软雅黑"/>
                <w:i/>
                <w:iCs/>
                <w:color w:val="000000"/>
                <w:sz w:val="16"/>
                <w:szCs w:val="16"/>
                <w:u w:val="none"/>
              </w:rPr>
            </w:pPr>
          </w:p>
        </w:tc>
      </w:tr>
      <w:tr w14:paraId="27642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C8F0B">
            <w:pPr>
              <w:jc w:val="center"/>
              <w:rPr>
                <w:rFonts w:hint="eastAsia" w:ascii="宋体" w:hAnsi="宋体" w:eastAsia="宋体" w:cs="宋体"/>
                <w:i w:val="0"/>
                <w:iCs w:val="0"/>
                <w:color w:val="000000"/>
                <w:sz w:val="18"/>
                <w:szCs w:val="18"/>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21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4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0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人民群众满意度</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4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3A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15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4BF3">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98</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A6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21E0">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554F">
            <w:pPr>
              <w:jc w:val="center"/>
              <w:rPr>
                <w:rFonts w:hint="eastAsia" w:ascii="微软雅黑" w:hAnsi="微软雅黑" w:eastAsia="微软雅黑" w:cs="微软雅黑"/>
                <w:i/>
                <w:iCs/>
                <w:color w:val="000000"/>
                <w:sz w:val="16"/>
                <w:szCs w:val="16"/>
                <w:u w:val="none"/>
              </w:rPr>
            </w:pPr>
          </w:p>
        </w:tc>
      </w:tr>
      <w:tr w14:paraId="72614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78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B96F1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F3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AB5C">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205B">
            <w:pPr>
              <w:rPr>
                <w:rFonts w:hint="eastAsia" w:ascii="宋体" w:hAnsi="宋体" w:eastAsia="宋体" w:cs="宋体"/>
                <w:i w:val="0"/>
                <w:iCs w:val="0"/>
                <w:color w:val="000000"/>
                <w:sz w:val="18"/>
                <w:szCs w:val="18"/>
                <w:u w:val="none"/>
              </w:rPr>
            </w:pPr>
          </w:p>
        </w:tc>
      </w:tr>
      <w:tr w14:paraId="6C9DE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7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0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4243B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项目自评总分为100分，法治举措创新推进。</w:t>
            </w:r>
          </w:p>
        </w:tc>
      </w:tr>
      <w:tr w14:paraId="6D351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E9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0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78DC2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F147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4F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0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EDBED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C136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5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9A07A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3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0CEF7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tbl>
      <w:tblPr>
        <w:tblStyle w:val="14"/>
        <w:tblpPr w:leftFromText="180" w:rightFromText="180" w:vertAnchor="text" w:horzAnchor="page" w:tblpX="1035" w:tblpY="456"/>
        <w:tblOverlap w:val="never"/>
        <w:tblW w:w="10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7"/>
        <w:gridCol w:w="1420"/>
        <w:gridCol w:w="1242"/>
        <w:gridCol w:w="1555"/>
        <w:gridCol w:w="453"/>
        <w:gridCol w:w="1162"/>
        <w:gridCol w:w="467"/>
        <w:gridCol w:w="971"/>
        <w:gridCol w:w="556"/>
        <w:gridCol w:w="486"/>
        <w:gridCol w:w="1811"/>
      </w:tblGrid>
      <w:tr w14:paraId="3FAB4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4B86146">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299B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057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0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9F50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51190221T000000167895-普法宣传经费</w:t>
            </w:r>
          </w:p>
        </w:tc>
      </w:tr>
      <w:tr w14:paraId="394B0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21D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539D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司法局</w:t>
            </w:r>
          </w:p>
        </w:tc>
        <w:tc>
          <w:tcPr>
            <w:tcW w:w="971" w:type="dxa"/>
            <w:tcBorders>
              <w:top w:val="nil"/>
              <w:left w:val="nil"/>
              <w:bottom w:val="nil"/>
              <w:right w:val="nil"/>
            </w:tcBorders>
            <w:shd w:val="clear" w:color="auto" w:fill="auto"/>
            <w:vAlign w:val="center"/>
          </w:tcPr>
          <w:p w14:paraId="3AC20498">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B9B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巴中市巴州区司法局</w:t>
            </w:r>
          </w:p>
        </w:tc>
      </w:tr>
      <w:tr w14:paraId="6D4E9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506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892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135B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8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960A4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5AF4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1"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4D7A0">
            <w:pPr>
              <w:rPr>
                <w:rFonts w:hint="eastAsia" w:ascii="宋体" w:hAnsi="宋体" w:eastAsia="宋体" w:cs="宋体"/>
                <w:i w:val="0"/>
                <w:iCs w:val="0"/>
                <w:color w:val="000000"/>
                <w:sz w:val="18"/>
                <w:szCs w:val="18"/>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19D51">
            <w:pPr>
              <w:rPr>
                <w:rFonts w:hint="eastAsia" w:ascii="宋体" w:hAnsi="宋体" w:eastAsia="宋体" w:cs="宋体"/>
                <w:i w:val="0"/>
                <w:iCs w:val="0"/>
                <w:color w:val="000000"/>
                <w:sz w:val="18"/>
                <w:szCs w:val="18"/>
                <w:u w:val="none"/>
              </w:rPr>
            </w:pPr>
          </w:p>
        </w:tc>
        <w:tc>
          <w:tcPr>
            <w:tcW w:w="48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F8A2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拟订全区法制宣传教育、普及法律常识规划和年度计划，并组织实施；指导和督查全区法制宣传教育和依法治理工作。</w:t>
            </w:r>
          </w:p>
        </w:tc>
        <w:tc>
          <w:tcPr>
            <w:tcW w:w="38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D02F0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法治基础巩固提升。对标“‘八五’普法中期先进县（区）”创建验收指标，抓紧抓实“全民守法”基础工程，顺利完成化成水宁法治文化示范带增建修缮，建成全市首个宪法主题法治广场。协调开通“大美巴州”、巴州新闻网普法依法治理专栏，持续投放广电法治公益广告，实现全媒体普法100余次。组建“八五”普法讲师团，整合力量开展“法律七进”“一月一主题”普法宣传教育活动400余场，培养法律明白人1480人，创新的“双单”普法举措被法治日报报道。</w:t>
            </w:r>
          </w:p>
        </w:tc>
      </w:tr>
      <w:tr w14:paraId="2BA7D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10D79">
            <w:pPr>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76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0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A7251D">
            <w:pPr>
              <w:rPr>
                <w:rFonts w:hint="eastAsia" w:ascii="宋体" w:hAnsi="宋体" w:eastAsia="宋体" w:cs="宋体"/>
                <w:i w:val="0"/>
                <w:iCs w:val="0"/>
                <w:color w:val="000000"/>
                <w:sz w:val="18"/>
                <w:szCs w:val="18"/>
                <w:u w:val="none"/>
              </w:rPr>
            </w:pPr>
          </w:p>
        </w:tc>
      </w:tr>
      <w:tr w14:paraId="59F6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4C8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9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49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A9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2928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D6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DC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61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77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6998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D7030">
            <w:pPr>
              <w:jc w:val="center"/>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2A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B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B0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97F9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18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1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3575">
            <w:pPr>
              <w:jc w:val="center"/>
              <w:rPr>
                <w:rFonts w:hint="eastAsia" w:ascii="宋体" w:hAnsi="宋体" w:eastAsia="宋体" w:cs="宋体"/>
                <w:i w:val="0"/>
                <w:iCs w:val="0"/>
                <w:color w:val="000000"/>
                <w:sz w:val="18"/>
                <w:szCs w:val="18"/>
                <w:u w:val="none"/>
              </w:rPr>
            </w:pP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F33F5">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14AFF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52250">
            <w:pPr>
              <w:jc w:val="center"/>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3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C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5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9E5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C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8A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AC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7FB50">
            <w:pPr>
              <w:rPr>
                <w:rFonts w:hint="eastAsia" w:ascii="黑体" w:hAnsi="黑体" w:eastAsia="黑体" w:cs="黑体"/>
                <w:i/>
                <w:iCs/>
                <w:color w:val="000000"/>
                <w:sz w:val="18"/>
                <w:szCs w:val="18"/>
                <w:u w:val="none"/>
              </w:rPr>
            </w:pPr>
          </w:p>
        </w:tc>
      </w:tr>
      <w:tr w14:paraId="48215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CE2EC">
            <w:pPr>
              <w:jc w:val="center"/>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E8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D4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E4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F3AD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1C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2C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05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6BA6C">
            <w:pPr>
              <w:rPr>
                <w:rFonts w:hint="eastAsia" w:ascii="黑体" w:hAnsi="黑体" w:eastAsia="黑体" w:cs="黑体"/>
                <w:i/>
                <w:iCs/>
                <w:color w:val="000000"/>
                <w:sz w:val="18"/>
                <w:szCs w:val="18"/>
                <w:u w:val="none"/>
              </w:rPr>
            </w:pPr>
          </w:p>
        </w:tc>
      </w:tr>
      <w:tr w14:paraId="024A4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65A95">
            <w:pPr>
              <w:jc w:val="center"/>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D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F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B3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7837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49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58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43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9C935">
            <w:pPr>
              <w:rPr>
                <w:rFonts w:hint="eastAsia" w:ascii="黑体" w:hAnsi="黑体" w:eastAsia="黑体" w:cs="黑体"/>
                <w:i/>
                <w:iCs/>
                <w:color w:val="000000"/>
                <w:sz w:val="18"/>
                <w:szCs w:val="18"/>
                <w:u w:val="none"/>
              </w:rPr>
            </w:pPr>
          </w:p>
        </w:tc>
      </w:tr>
      <w:tr w14:paraId="41E68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BD5E5">
            <w:pPr>
              <w:jc w:val="center"/>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C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4884">
            <w:pPr>
              <w:jc w:val="center"/>
              <w:rPr>
                <w:rFonts w:hint="eastAsia" w:ascii="微软雅黑" w:hAnsi="微软雅黑" w:eastAsia="微软雅黑" w:cs="微软雅黑"/>
                <w:i/>
                <w:iCs/>
                <w:color w:val="000000"/>
                <w:sz w:val="16"/>
                <w:szCs w:val="16"/>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00B6">
            <w:pPr>
              <w:jc w:val="center"/>
              <w:rPr>
                <w:rFonts w:hint="eastAsia" w:ascii="微软雅黑" w:hAnsi="微软雅黑" w:eastAsia="微软雅黑" w:cs="微软雅黑"/>
                <w:i/>
                <w:iCs/>
                <w:color w:val="000000"/>
                <w:sz w:val="16"/>
                <w:szCs w:val="16"/>
                <w:u w:val="none"/>
              </w:rPr>
            </w:pP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6592CA">
            <w:pPr>
              <w:jc w:val="center"/>
              <w:rPr>
                <w:rFonts w:hint="eastAsia" w:ascii="微软雅黑" w:hAnsi="微软雅黑" w:eastAsia="微软雅黑" w:cs="微软雅黑"/>
                <w:i/>
                <w:iCs/>
                <w:color w:val="000000"/>
                <w:sz w:val="16"/>
                <w:szCs w:val="16"/>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8B33">
            <w:pPr>
              <w:jc w:val="center"/>
              <w:rPr>
                <w:rFonts w:hint="eastAsia" w:ascii="微软雅黑" w:hAnsi="微软雅黑" w:eastAsia="微软雅黑" w:cs="微软雅黑"/>
                <w:i/>
                <w:iCs/>
                <w:color w:val="000000"/>
                <w:sz w:val="16"/>
                <w:szCs w:val="16"/>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4E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2D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2993A">
            <w:pPr>
              <w:rPr>
                <w:rFonts w:hint="eastAsia" w:ascii="黑体" w:hAnsi="黑体" w:eastAsia="黑体" w:cs="黑体"/>
                <w:i/>
                <w:iCs/>
                <w:color w:val="000000"/>
                <w:sz w:val="18"/>
                <w:szCs w:val="18"/>
                <w:u w:val="none"/>
              </w:rPr>
            </w:pPr>
          </w:p>
        </w:tc>
      </w:tr>
      <w:tr w14:paraId="7BD16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17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03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FA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8E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BE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D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CA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76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CD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A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B7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20C3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09618">
            <w:pPr>
              <w:jc w:val="center"/>
              <w:rPr>
                <w:rFonts w:hint="eastAsia" w:ascii="宋体" w:hAnsi="宋体" w:eastAsia="宋体" w:cs="宋体"/>
                <w:i w:val="0"/>
                <w:iCs w:val="0"/>
                <w:color w:val="000000"/>
                <w:sz w:val="18"/>
                <w:szCs w:val="18"/>
                <w:u w:val="none"/>
              </w:rPr>
            </w:pP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F2D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915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B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发放法制宣传资料</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B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D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D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万份</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3608">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5.1</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430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30</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5C23">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3E8A">
            <w:pPr>
              <w:jc w:val="center"/>
              <w:rPr>
                <w:rFonts w:hint="eastAsia" w:ascii="微软雅黑" w:hAnsi="微软雅黑" w:eastAsia="微软雅黑" w:cs="微软雅黑"/>
                <w:i/>
                <w:iCs/>
                <w:color w:val="000000"/>
                <w:sz w:val="16"/>
                <w:szCs w:val="16"/>
                <w:u w:val="none"/>
              </w:rPr>
            </w:pPr>
          </w:p>
        </w:tc>
      </w:tr>
      <w:tr w14:paraId="24AF9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52562">
            <w:pPr>
              <w:jc w:val="center"/>
              <w:rPr>
                <w:rFonts w:hint="eastAsia" w:ascii="宋体" w:hAnsi="宋体" w:eastAsia="宋体" w:cs="宋体"/>
                <w:i w:val="0"/>
                <w:iCs w:val="0"/>
                <w:color w:val="000000"/>
                <w:sz w:val="18"/>
                <w:szCs w:val="18"/>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BC2DE">
            <w:pPr>
              <w:jc w:val="center"/>
              <w:rPr>
                <w:rFonts w:hint="eastAsia" w:ascii="宋体" w:hAnsi="宋体" w:eastAsia="宋体" w:cs="宋体"/>
                <w:i w:val="0"/>
                <w:iCs w:val="0"/>
                <w:color w:val="000000"/>
                <w:sz w:val="18"/>
                <w:szCs w:val="18"/>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641C2">
            <w:pPr>
              <w:jc w:val="center"/>
              <w:rPr>
                <w:rFonts w:hint="eastAsia" w:ascii="宋体" w:hAnsi="宋体" w:eastAsia="宋体" w:cs="宋体"/>
                <w:i w:val="0"/>
                <w:iCs w:val="0"/>
                <w:color w:val="000000"/>
                <w:sz w:val="18"/>
                <w:szCs w:val="18"/>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5E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法治宣传</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5D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1F3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400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7A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CD93">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428</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C53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30</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C68F">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37F5">
            <w:pPr>
              <w:jc w:val="center"/>
              <w:rPr>
                <w:rFonts w:hint="eastAsia" w:ascii="微软雅黑" w:hAnsi="微软雅黑" w:eastAsia="微软雅黑" w:cs="微软雅黑"/>
                <w:i/>
                <w:iCs/>
                <w:color w:val="000000"/>
                <w:sz w:val="16"/>
                <w:szCs w:val="16"/>
                <w:u w:val="none"/>
              </w:rPr>
            </w:pPr>
          </w:p>
        </w:tc>
      </w:tr>
      <w:tr w14:paraId="0BDC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4AC0E">
            <w:pPr>
              <w:jc w:val="center"/>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FF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4C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E3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群众法治意识</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E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C3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1A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B5A2">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优</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AB6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30</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9B46">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3AD1">
            <w:pPr>
              <w:jc w:val="center"/>
              <w:rPr>
                <w:rFonts w:hint="eastAsia" w:ascii="微软雅黑" w:hAnsi="微软雅黑" w:eastAsia="微软雅黑" w:cs="微软雅黑"/>
                <w:i/>
                <w:iCs/>
                <w:color w:val="000000"/>
                <w:sz w:val="16"/>
                <w:szCs w:val="16"/>
                <w:u w:val="none"/>
              </w:rPr>
            </w:pPr>
          </w:p>
        </w:tc>
      </w:tr>
      <w:tr w14:paraId="0EF63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30B22">
            <w:pPr>
              <w:jc w:val="center"/>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9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B0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4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5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F9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38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7F53">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98</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F5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A908">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1A05">
            <w:pPr>
              <w:jc w:val="center"/>
              <w:rPr>
                <w:rFonts w:hint="eastAsia" w:ascii="微软雅黑" w:hAnsi="微软雅黑" w:eastAsia="微软雅黑" w:cs="微软雅黑"/>
                <w:i/>
                <w:iCs/>
                <w:color w:val="000000"/>
                <w:sz w:val="16"/>
                <w:szCs w:val="16"/>
                <w:u w:val="none"/>
              </w:rPr>
            </w:pPr>
          </w:p>
        </w:tc>
      </w:tr>
      <w:tr w14:paraId="418CD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79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B3A18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F4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90BD">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AB58">
            <w:pPr>
              <w:rPr>
                <w:rFonts w:hint="eastAsia" w:ascii="宋体" w:hAnsi="宋体" w:eastAsia="宋体" w:cs="宋体"/>
                <w:i w:val="0"/>
                <w:iCs w:val="0"/>
                <w:color w:val="000000"/>
                <w:sz w:val="18"/>
                <w:szCs w:val="18"/>
                <w:u w:val="none"/>
              </w:rPr>
            </w:pPr>
          </w:p>
        </w:tc>
      </w:tr>
      <w:tr w14:paraId="3B39C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97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1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8CB7D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为100分，紧紧围绕区委、区政府中心工作开展法治宣传教育，着力推动“谁执法谁普法”，深入开展基层依法治理，进一步创新法治宣传教育形式，全面提升法治宣传教育工作水平，努力提高人民群众对法治宣传工作的满意度。</w:t>
            </w:r>
          </w:p>
        </w:tc>
      </w:tr>
      <w:tr w14:paraId="10BAF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F1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1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DC997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28F7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1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1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32D08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8148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53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61F7C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4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35F44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tbl>
      <w:tblPr>
        <w:tblStyle w:val="14"/>
        <w:tblpPr w:leftFromText="180" w:rightFromText="180" w:vertAnchor="text" w:horzAnchor="page" w:tblpX="1005" w:tblpY="455"/>
        <w:tblOverlap w:val="never"/>
        <w:tblW w:w="10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1"/>
        <w:gridCol w:w="1444"/>
        <w:gridCol w:w="1261"/>
        <w:gridCol w:w="1582"/>
        <w:gridCol w:w="447"/>
        <w:gridCol w:w="1168"/>
        <w:gridCol w:w="458"/>
        <w:gridCol w:w="957"/>
        <w:gridCol w:w="551"/>
        <w:gridCol w:w="486"/>
        <w:gridCol w:w="1835"/>
      </w:tblGrid>
      <w:tr w14:paraId="07A15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08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1AFDF4D">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ACB3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C7F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36158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51190222T000006140263-行政复议经费</w:t>
            </w:r>
          </w:p>
        </w:tc>
      </w:tr>
      <w:tr w14:paraId="28F6C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D74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9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FC8E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司法局</w:t>
            </w:r>
          </w:p>
        </w:tc>
        <w:tc>
          <w:tcPr>
            <w:tcW w:w="957" w:type="dxa"/>
            <w:tcBorders>
              <w:top w:val="nil"/>
              <w:left w:val="nil"/>
              <w:bottom w:val="nil"/>
              <w:right w:val="nil"/>
            </w:tcBorders>
            <w:shd w:val="clear" w:color="auto" w:fill="auto"/>
            <w:vAlign w:val="center"/>
          </w:tcPr>
          <w:p w14:paraId="4EFFBAAB">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6F6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巴中市巴州区司法局</w:t>
            </w:r>
          </w:p>
        </w:tc>
      </w:tr>
      <w:tr w14:paraId="3871E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B74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4CA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9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414A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C9E55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023A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1"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598B6">
            <w:pPr>
              <w:rPr>
                <w:rFonts w:hint="eastAsia" w:ascii="宋体" w:hAnsi="宋体" w:eastAsia="宋体" w:cs="宋体"/>
                <w:i w:val="0"/>
                <w:iCs w:val="0"/>
                <w:color w:val="000000"/>
                <w:sz w:val="18"/>
                <w:szCs w:val="18"/>
                <w:u w:val="none"/>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52EB9">
            <w:pPr>
              <w:rPr>
                <w:rFonts w:hint="eastAsia" w:ascii="宋体" w:hAnsi="宋体" w:eastAsia="宋体" w:cs="宋体"/>
                <w:i w:val="0"/>
                <w:iCs w:val="0"/>
                <w:color w:val="000000"/>
                <w:sz w:val="18"/>
                <w:szCs w:val="18"/>
                <w:u w:val="none"/>
              </w:rPr>
            </w:pPr>
          </w:p>
        </w:tc>
        <w:tc>
          <w:tcPr>
            <w:tcW w:w="49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6E82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增强行政复议办案力量，畅通行政复议申请渠道，规范行政复议受理工作，人民群众更加信赖并积极通过行政复议维护其合法权益。</w:t>
            </w:r>
          </w:p>
        </w:tc>
        <w:tc>
          <w:tcPr>
            <w:tcW w:w="3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6A3F7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争议化解成效显著。建立跨行政区域府院联席会议制度，全年指导行政应诉36件，组织行政机关负责人旁听庭审63人，行政机关负责人出庭应诉率保持100%。妥善处置24件南坝安置补偿、失地农民社会保障行政争议，稳妥化解南池拆迁诉讼纠纷，工作成果获区级领导批示肯定。围绕“行政复议质量提升年”活动主线，健全完善行政复议立案、审查制度，审结行政复议案件29件。</w:t>
            </w:r>
          </w:p>
        </w:tc>
      </w:tr>
      <w:tr w14:paraId="1765C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69543">
            <w:pPr>
              <w:rPr>
                <w:rFonts w:hint="eastAsia" w:ascii="宋体" w:hAnsi="宋体" w:eastAsia="宋体" w:cs="宋体"/>
                <w:i w:val="0"/>
                <w:iCs w:val="0"/>
                <w:color w:val="000000"/>
                <w:sz w:val="18"/>
                <w:szCs w:val="18"/>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99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7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CAF373E">
            <w:pPr>
              <w:rPr>
                <w:rFonts w:hint="eastAsia" w:ascii="宋体" w:hAnsi="宋体" w:eastAsia="宋体" w:cs="宋体"/>
                <w:i w:val="0"/>
                <w:iCs w:val="0"/>
                <w:color w:val="000000"/>
                <w:sz w:val="18"/>
                <w:szCs w:val="18"/>
                <w:u w:val="none"/>
              </w:rPr>
            </w:pPr>
          </w:p>
        </w:tc>
      </w:tr>
      <w:tr w14:paraId="378E5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979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5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F6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9E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F325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B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B3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8E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2D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5C9E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D0F56">
            <w:pPr>
              <w:jc w:val="center"/>
              <w:rPr>
                <w:rFonts w:hint="eastAsia" w:ascii="宋体" w:hAnsi="宋体" w:eastAsia="宋体" w:cs="宋体"/>
                <w:i w:val="0"/>
                <w:iCs w:val="0"/>
                <w:color w:val="000000"/>
                <w:sz w:val="18"/>
                <w:szCs w:val="18"/>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EE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D9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2A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E76B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DF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B4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A5CE">
            <w:pPr>
              <w:jc w:val="center"/>
              <w:rPr>
                <w:rFonts w:hint="eastAsia" w:ascii="宋体" w:hAnsi="宋体" w:eastAsia="宋体" w:cs="宋体"/>
                <w:i w:val="0"/>
                <w:iCs w:val="0"/>
                <w:color w:val="000000"/>
                <w:sz w:val="18"/>
                <w:szCs w:val="18"/>
                <w:u w:val="none"/>
              </w:rPr>
            </w:pP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9217F">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48B3F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4D807">
            <w:pPr>
              <w:jc w:val="center"/>
              <w:rPr>
                <w:rFonts w:hint="eastAsia" w:ascii="宋体" w:hAnsi="宋体" w:eastAsia="宋体" w:cs="宋体"/>
                <w:i w:val="0"/>
                <w:iCs w:val="0"/>
                <w:color w:val="000000"/>
                <w:sz w:val="18"/>
                <w:szCs w:val="18"/>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BA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CB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3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2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B963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E7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B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0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9DF9D">
            <w:pPr>
              <w:rPr>
                <w:rFonts w:hint="eastAsia" w:ascii="黑体" w:hAnsi="黑体" w:eastAsia="黑体" w:cs="黑体"/>
                <w:i/>
                <w:iCs/>
                <w:color w:val="000000"/>
                <w:sz w:val="18"/>
                <w:szCs w:val="18"/>
                <w:u w:val="none"/>
              </w:rPr>
            </w:pPr>
          </w:p>
        </w:tc>
      </w:tr>
      <w:tr w14:paraId="42643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446D5">
            <w:pPr>
              <w:jc w:val="center"/>
              <w:rPr>
                <w:rFonts w:hint="eastAsia" w:ascii="宋体" w:hAnsi="宋体" w:eastAsia="宋体" w:cs="宋体"/>
                <w:i w:val="0"/>
                <w:iCs w:val="0"/>
                <w:color w:val="000000"/>
                <w:sz w:val="18"/>
                <w:szCs w:val="18"/>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0D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5A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6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EFCE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6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B3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4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A38DC">
            <w:pPr>
              <w:rPr>
                <w:rFonts w:hint="eastAsia" w:ascii="黑体" w:hAnsi="黑体" w:eastAsia="黑体" w:cs="黑体"/>
                <w:i/>
                <w:iCs/>
                <w:color w:val="000000"/>
                <w:sz w:val="18"/>
                <w:szCs w:val="18"/>
                <w:u w:val="none"/>
              </w:rPr>
            </w:pPr>
          </w:p>
        </w:tc>
      </w:tr>
      <w:tr w14:paraId="2D37F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EA680">
            <w:pPr>
              <w:jc w:val="center"/>
              <w:rPr>
                <w:rFonts w:hint="eastAsia" w:ascii="宋体" w:hAnsi="宋体" w:eastAsia="宋体" w:cs="宋体"/>
                <w:i w:val="0"/>
                <w:iCs w:val="0"/>
                <w:color w:val="000000"/>
                <w:sz w:val="18"/>
                <w:szCs w:val="18"/>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5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65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CB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C151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60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B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B3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F623C">
            <w:pPr>
              <w:rPr>
                <w:rFonts w:hint="eastAsia" w:ascii="黑体" w:hAnsi="黑体" w:eastAsia="黑体" w:cs="黑体"/>
                <w:i/>
                <w:iCs/>
                <w:color w:val="000000"/>
                <w:sz w:val="18"/>
                <w:szCs w:val="18"/>
                <w:u w:val="none"/>
              </w:rPr>
            </w:pPr>
          </w:p>
        </w:tc>
      </w:tr>
      <w:tr w14:paraId="12EA5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C3DA0">
            <w:pPr>
              <w:jc w:val="center"/>
              <w:rPr>
                <w:rFonts w:hint="eastAsia" w:ascii="宋体" w:hAnsi="宋体" w:eastAsia="宋体" w:cs="宋体"/>
                <w:i w:val="0"/>
                <w:iCs w:val="0"/>
                <w:color w:val="000000"/>
                <w:sz w:val="18"/>
                <w:szCs w:val="18"/>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EA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DA08">
            <w:pPr>
              <w:jc w:val="center"/>
              <w:rPr>
                <w:rFonts w:hint="eastAsia" w:ascii="微软雅黑" w:hAnsi="微软雅黑" w:eastAsia="微软雅黑" w:cs="微软雅黑"/>
                <w:i/>
                <w:iCs/>
                <w:color w:val="000000"/>
                <w:sz w:val="16"/>
                <w:szCs w:val="16"/>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4041">
            <w:pPr>
              <w:jc w:val="center"/>
              <w:rPr>
                <w:rFonts w:hint="eastAsia" w:ascii="微软雅黑" w:hAnsi="微软雅黑" w:eastAsia="微软雅黑" w:cs="微软雅黑"/>
                <w:i/>
                <w:iCs/>
                <w:color w:val="000000"/>
                <w:sz w:val="16"/>
                <w:szCs w:val="16"/>
                <w:u w:val="none"/>
              </w:rPr>
            </w:pPr>
          </w:p>
        </w:tc>
        <w:tc>
          <w:tcPr>
            <w:tcW w:w="2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08C94B">
            <w:pPr>
              <w:jc w:val="center"/>
              <w:rPr>
                <w:rFonts w:hint="eastAsia" w:ascii="微软雅黑" w:hAnsi="微软雅黑" w:eastAsia="微软雅黑" w:cs="微软雅黑"/>
                <w:i/>
                <w:iCs/>
                <w:color w:val="000000"/>
                <w:sz w:val="16"/>
                <w:szCs w:val="16"/>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E081">
            <w:pPr>
              <w:jc w:val="center"/>
              <w:rPr>
                <w:rFonts w:hint="eastAsia" w:ascii="微软雅黑" w:hAnsi="微软雅黑" w:eastAsia="微软雅黑" w:cs="微软雅黑"/>
                <w:i/>
                <w:iCs/>
                <w:color w:val="000000"/>
                <w:sz w:val="16"/>
                <w:szCs w:val="16"/>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CA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5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2C715">
            <w:pPr>
              <w:rPr>
                <w:rFonts w:hint="eastAsia" w:ascii="黑体" w:hAnsi="黑体" w:eastAsia="黑体" w:cs="黑体"/>
                <w:i/>
                <w:iCs/>
                <w:color w:val="000000"/>
                <w:sz w:val="18"/>
                <w:szCs w:val="18"/>
                <w:u w:val="none"/>
              </w:rPr>
            </w:pPr>
          </w:p>
        </w:tc>
      </w:tr>
      <w:tr w14:paraId="1B053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C4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1D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78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25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E9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E6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2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85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9A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10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CB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088C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C9D8E">
            <w:pPr>
              <w:jc w:val="center"/>
              <w:rPr>
                <w:rFonts w:hint="eastAsia" w:ascii="宋体" w:hAnsi="宋体" w:eastAsia="宋体" w:cs="宋体"/>
                <w:i w:val="0"/>
                <w:iCs w:val="0"/>
                <w:color w:val="000000"/>
                <w:sz w:val="18"/>
                <w:szCs w:val="18"/>
                <w:u w:val="none"/>
              </w:rPr>
            </w:pPr>
          </w:p>
        </w:tc>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E1D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A7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D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行政复议案件数</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41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A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AC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案件数</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DEF8">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29</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EA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4DA8">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13DF">
            <w:pPr>
              <w:jc w:val="center"/>
              <w:rPr>
                <w:rFonts w:hint="eastAsia" w:ascii="微软雅黑" w:hAnsi="微软雅黑" w:eastAsia="微软雅黑" w:cs="微软雅黑"/>
                <w:i/>
                <w:iCs/>
                <w:color w:val="000000"/>
                <w:sz w:val="16"/>
                <w:szCs w:val="16"/>
                <w:u w:val="none"/>
              </w:rPr>
            </w:pPr>
          </w:p>
        </w:tc>
      </w:tr>
      <w:tr w14:paraId="7B726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509E3">
            <w:pPr>
              <w:jc w:val="center"/>
              <w:rPr>
                <w:rFonts w:hint="eastAsia" w:ascii="宋体" w:hAnsi="宋体" w:eastAsia="宋体" w:cs="宋体"/>
                <w:i w:val="0"/>
                <w:iCs w:val="0"/>
                <w:color w:val="000000"/>
                <w:sz w:val="18"/>
                <w:szCs w:val="18"/>
                <w:u w:val="none"/>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8A065">
            <w:pPr>
              <w:jc w:val="center"/>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E4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87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行政复议案件质量</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89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E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3E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E3ED">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优</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2C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0C6D">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ED07">
            <w:pPr>
              <w:jc w:val="center"/>
              <w:rPr>
                <w:rFonts w:hint="eastAsia" w:ascii="微软雅黑" w:hAnsi="微软雅黑" w:eastAsia="微软雅黑" w:cs="微软雅黑"/>
                <w:i/>
                <w:iCs/>
                <w:color w:val="000000"/>
                <w:sz w:val="16"/>
                <w:szCs w:val="16"/>
                <w:u w:val="none"/>
              </w:rPr>
            </w:pPr>
          </w:p>
        </w:tc>
      </w:tr>
      <w:tr w14:paraId="5C775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0B4C9">
            <w:pPr>
              <w:jc w:val="center"/>
              <w:rPr>
                <w:rFonts w:hint="eastAsia" w:ascii="宋体" w:hAnsi="宋体" w:eastAsia="宋体" w:cs="宋体"/>
                <w:i w:val="0"/>
                <w:iCs w:val="0"/>
                <w:color w:val="000000"/>
                <w:sz w:val="18"/>
                <w:szCs w:val="18"/>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45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A4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87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为我区企业信用信息系统建设和管理提供制度支撑，优化调整产业结构升级</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8F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80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B0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0E70">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优</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EE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7045">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9F1A">
            <w:pPr>
              <w:jc w:val="center"/>
              <w:rPr>
                <w:rFonts w:hint="eastAsia" w:ascii="微软雅黑" w:hAnsi="微软雅黑" w:eastAsia="微软雅黑" w:cs="微软雅黑"/>
                <w:i/>
                <w:iCs/>
                <w:color w:val="000000"/>
                <w:sz w:val="16"/>
                <w:szCs w:val="16"/>
                <w:u w:val="none"/>
              </w:rPr>
            </w:pPr>
          </w:p>
        </w:tc>
      </w:tr>
      <w:tr w14:paraId="7D1E5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D23EA">
            <w:pPr>
              <w:jc w:val="center"/>
              <w:rPr>
                <w:rFonts w:hint="eastAsia" w:ascii="宋体" w:hAnsi="宋体" w:eastAsia="宋体" w:cs="宋体"/>
                <w:i w:val="0"/>
                <w:iCs w:val="0"/>
                <w:color w:val="000000"/>
                <w:sz w:val="18"/>
                <w:szCs w:val="18"/>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5B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37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72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群众对党和政府的信任感</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42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F2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BA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21F8">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高</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5F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6424">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CAD5">
            <w:pPr>
              <w:jc w:val="center"/>
              <w:rPr>
                <w:rFonts w:hint="eastAsia" w:ascii="微软雅黑" w:hAnsi="微软雅黑" w:eastAsia="微软雅黑" w:cs="微软雅黑"/>
                <w:i/>
                <w:iCs/>
                <w:color w:val="000000"/>
                <w:sz w:val="16"/>
                <w:szCs w:val="16"/>
                <w:u w:val="none"/>
              </w:rPr>
            </w:pPr>
          </w:p>
        </w:tc>
      </w:tr>
      <w:tr w14:paraId="5289C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79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B9FE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A9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2EE3">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0B42">
            <w:pPr>
              <w:rPr>
                <w:rFonts w:hint="eastAsia" w:ascii="宋体" w:hAnsi="宋体" w:eastAsia="宋体" w:cs="宋体"/>
                <w:i w:val="0"/>
                <w:iCs w:val="0"/>
                <w:color w:val="000000"/>
                <w:sz w:val="18"/>
                <w:szCs w:val="18"/>
                <w:u w:val="none"/>
              </w:rPr>
            </w:pPr>
          </w:p>
        </w:tc>
      </w:tr>
      <w:tr w14:paraId="4AF66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58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1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6BA5C6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项目自评总分为100分，充分发挥行政复议作用，消除违法和不当行政行为对经济发展环境的不良影响，化解行政争议与纠纷，维护社会和谐稳定。</w:t>
            </w:r>
          </w:p>
        </w:tc>
      </w:tr>
      <w:tr w14:paraId="2E60C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0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1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DC2F4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行政纠纷化解率有待提高。</w:t>
            </w:r>
          </w:p>
        </w:tc>
      </w:tr>
      <w:tr w14:paraId="3C5AC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B3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1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4D6BF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加强对行政复议和行政应诉案件的管理工作，提高工作质量。</w:t>
            </w:r>
          </w:p>
        </w:tc>
      </w:tr>
      <w:tr w14:paraId="728F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3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369A8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BA110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3438B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651" w:type="dxa"/>
            <w:tcBorders>
              <w:top w:val="nil"/>
              <w:left w:val="nil"/>
              <w:bottom w:val="nil"/>
              <w:right w:val="nil"/>
            </w:tcBorders>
            <w:shd w:val="clear" w:color="auto" w:fill="auto"/>
            <w:vAlign w:val="center"/>
          </w:tcPr>
          <w:p w14:paraId="458CBC5B">
            <w:pPr>
              <w:rPr>
                <w:rFonts w:hint="eastAsia" w:ascii="宋体" w:hAnsi="宋体" w:eastAsia="宋体" w:cs="宋体"/>
                <w:i w:val="0"/>
                <w:iCs w:val="0"/>
                <w:color w:val="000000"/>
                <w:sz w:val="18"/>
                <w:szCs w:val="18"/>
                <w:u w:val="none"/>
              </w:rPr>
            </w:pPr>
          </w:p>
        </w:tc>
        <w:tc>
          <w:tcPr>
            <w:tcW w:w="1444" w:type="dxa"/>
            <w:tcBorders>
              <w:top w:val="nil"/>
              <w:left w:val="nil"/>
              <w:bottom w:val="nil"/>
              <w:right w:val="nil"/>
            </w:tcBorders>
            <w:shd w:val="clear" w:color="auto" w:fill="auto"/>
            <w:vAlign w:val="center"/>
          </w:tcPr>
          <w:p w14:paraId="2288DB32">
            <w:pPr>
              <w:rPr>
                <w:rFonts w:hint="eastAsia" w:ascii="宋体" w:hAnsi="宋体" w:eastAsia="宋体" w:cs="宋体"/>
                <w:i w:val="0"/>
                <w:iCs w:val="0"/>
                <w:color w:val="000000"/>
                <w:sz w:val="18"/>
                <w:szCs w:val="18"/>
                <w:u w:val="none"/>
              </w:rPr>
            </w:pPr>
          </w:p>
        </w:tc>
        <w:tc>
          <w:tcPr>
            <w:tcW w:w="1261" w:type="dxa"/>
            <w:tcBorders>
              <w:top w:val="nil"/>
              <w:left w:val="nil"/>
              <w:bottom w:val="nil"/>
              <w:right w:val="nil"/>
            </w:tcBorders>
            <w:shd w:val="clear" w:color="auto" w:fill="auto"/>
            <w:vAlign w:val="center"/>
          </w:tcPr>
          <w:p w14:paraId="54C7AFA7">
            <w:pPr>
              <w:rPr>
                <w:rFonts w:hint="eastAsia" w:ascii="宋体" w:hAnsi="宋体" w:eastAsia="宋体" w:cs="宋体"/>
                <w:i w:val="0"/>
                <w:iCs w:val="0"/>
                <w:color w:val="000000"/>
                <w:sz w:val="18"/>
                <w:szCs w:val="18"/>
                <w:u w:val="none"/>
              </w:rPr>
            </w:pPr>
          </w:p>
        </w:tc>
        <w:tc>
          <w:tcPr>
            <w:tcW w:w="1582" w:type="dxa"/>
            <w:tcBorders>
              <w:top w:val="nil"/>
              <w:left w:val="nil"/>
              <w:bottom w:val="nil"/>
              <w:right w:val="nil"/>
            </w:tcBorders>
            <w:shd w:val="clear" w:color="auto" w:fill="auto"/>
            <w:vAlign w:val="center"/>
          </w:tcPr>
          <w:p w14:paraId="6DB440BF">
            <w:pPr>
              <w:rPr>
                <w:rFonts w:hint="eastAsia" w:ascii="宋体" w:hAnsi="宋体" w:eastAsia="宋体" w:cs="宋体"/>
                <w:i w:val="0"/>
                <w:iCs w:val="0"/>
                <w:color w:val="000000"/>
                <w:sz w:val="18"/>
                <w:szCs w:val="18"/>
                <w:u w:val="none"/>
              </w:rPr>
            </w:pPr>
          </w:p>
        </w:tc>
        <w:tc>
          <w:tcPr>
            <w:tcW w:w="447" w:type="dxa"/>
            <w:tcBorders>
              <w:top w:val="nil"/>
              <w:left w:val="nil"/>
              <w:bottom w:val="nil"/>
              <w:right w:val="nil"/>
            </w:tcBorders>
            <w:shd w:val="clear" w:color="auto" w:fill="auto"/>
            <w:vAlign w:val="center"/>
          </w:tcPr>
          <w:p w14:paraId="5C63CF7D">
            <w:pPr>
              <w:rPr>
                <w:rFonts w:hint="eastAsia" w:ascii="宋体" w:hAnsi="宋体" w:eastAsia="宋体" w:cs="宋体"/>
                <w:i w:val="0"/>
                <w:iCs w:val="0"/>
                <w:color w:val="000000"/>
                <w:sz w:val="18"/>
                <w:szCs w:val="18"/>
                <w:u w:val="none"/>
              </w:rPr>
            </w:pPr>
          </w:p>
        </w:tc>
        <w:tc>
          <w:tcPr>
            <w:tcW w:w="1168" w:type="dxa"/>
            <w:tcBorders>
              <w:top w:val="nil"/>
              <w:left w:val="nil"/>
              <w:bottom w:val="nil"/>
              <w:right w:val="nil"/>
            </w:tcBorders>
            <w:shd w:val="clear" w:color="auto" w:fill="auto"/>
            <w:vAlign w:val="center"/>
          </w:tcPr>
          <w:p w14:paraId="41824F66">
            <w:pPr>
              <w:rPr>
                <w:rFonts w:hint="eastAsia" w:ascii="宋体" w:hAnsi="宋体" w:eastAsia="宋体" w:cs="宋体"/>
                <w:i w:val="0"/>
                <w:iCs w:val="0"/>
                <w:color w:val="000000"/>
                <w:sz w:val="18"/>
                <w:szCs w:val="18"/>
                <w:u w:val="none"/>
              </w:rPr>
            </w:pPr>
          </w:p>
        </w:tc>
        <w:tc>
          <w:tcPr>
            <w:tcW w:w="458" w:type="dxa"/>
            <w:tcBorders>
              <w:top w:val="nil"/>
              <w:left w:val="nil"/>
              <w:bottom w:val="nil"/>
              <w:right w:val="nil"/>
            </w:tcBorders>
            <w:shd w:val="clear" w:color="auto" w:fill="auto"/>
            <w:vAlign w:val="center"/>
          </w:tcPr>
          <w:p w14:paraId="32329B5E">
            <w:pPr>
              <w:rPr>
                <w:rFonts w:hint="eastAsia" w:ascii="宋体" w:hAnsi="宋体" w:eastAsia="宋体" w:cs="宋体"/>
                <w:i w:val="0"/>
                <w:iCs w:val="0"/>
                <w:color w:val="000000"/>
                <w:sz w:val="18"/>
                <w:szCs w:val="18"/>
                <w:u w:val="none"/>
              </w:rPr>
            </w:pPr>
          </w:p>
        </w:tc>
        <w:tc>
          <w:tcPr>
            <w:tcW w:w="957" w:type="dxa"/>
            <w:tcBorders>
              <w:top w:val="nil"/>
              <w:left w:val="nil"/>
              <w:bottom w:val="nil"/>
              <w:right w:val="nil"/>
            </w:tcBorders>
            <w:shd w:val="clear" w:color="auto" w:fill="auto"/>
            <w:vAlign w:val="center"/>
          </w:tcPr>
          <w:p w14:paraId="324B7D63">
            <w:pPr>
              <w:rPr>
                <w:rFonts w:hint="eastAsia" w:ascii="宋体" w:hAnsi="宋体" w:eastAsia="宋体" w:cs="宋体"/>
                <w:i w:val="0"/>
                <w:iCs w:val="0"/>
                <w:color w:val="000000"/>
                <w:sz w:val="18"/>
                <w:szCs w:val="18"/>
                <w:u w:val="none"/>
              </w:rPr>
            </w:pPr>
          </w:p>
        </w:tc>
        <w:tc>
          <w:tcPr>
            <w:tcW w:w="551" w:type="dxa"/>
            <w:tcBorders>
              <w:top w:val="nil"/>
              <w:left w:val="nil"/>
              <w:bottom w:val="nil"/>
              <w:right w:val="nil"/>
            </w:tcBorders>
            <w:shd w:val="clear" w:color="auto" w:fill="auto"/>
            <w:vAlign w:val="center"/>
          </w:tcPr>
          <w:p w14:paraId="61EE2C04">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602F4F8">
            <w:pPr>
              <w:rPr>
                <w:rFonts w:hint="eastAsia" w:ascii="宋体" w:hAnsi="宋体" w:eastAsia="宋体" w:cs="宋体"/>
                <w:i w:val="0"/>
                <w:iCs w:val="0"/>
                <w:color w:val="000000"/>
                <w:sz w:val="18"/>
                <w:szCs w:val="18"/>
                <w:u w:val="none"/>
              </w:rPr>
            </w:pPr>
          </w:p>
        </w:tc>
        <w:tc>
          <w:tcPr>
            <w:tcW w:w="1835" w:type="dxa"/>
            <w:tcBorders>
              <w:top w:val="nil"/>
              <w:left w:val="nil"/>
              <w:bottom w:val="nil"/>
              <w:right w:val="nil"/>
            </w:tcBorders>
            <w:shd w:val="clear" w:color="auto" w:fill="auto"/>
            <w:vAlign w:val="center"/>
          </w:tcPr>
          <w:p w14:paraId="262BE436">
            <w:pPr>
              <w:rPr>
                <w:rFonts w:hint="eastAsia" w:ascii="宋体" w:hAnsi="宋体" w:eastAsia="宋体" w:cs="宋体"/>
                <w:i w:val="0"/>
                <w:iCs w:val="0"/>
                <w:color w:val="000000"/>
                <w:sz w:val="18"/>
                <w:szCs w:val="18"/>
                <w:u w:val="none"/>
              </w:rPr>
            </w:pPr>
          </w:p>
        </w:tc>
      </w:tr>
    </w:tbl>
    <w:p w14:paraId="2C02520C">
      <w:pPr>
        <w:pStyle w:val="5"/>
        <w:spacing w:before="93"/>
        <w:rPr>
          <w:rFonts w:hAnsi="Calibri" w:cs="仿宋"/>
          <w:sz w:val="32"/>
          <w:szCs w:val="32"/>
        </w:rPr>
      </w:pPr>
    </w:p>
    <w:p w14:paraId="55919D95">
      <w:pPr>
        <w:pStyle w:val="5"/>
        <w:spacing w:before="93"/>
        <w:rPr>
          <w:rFonts w:hAnsi="Calibri" w:cs="仿宋"/>
          <w:sz w:val="32"/>
          <w:szCs w:val="32"/>
        </w:rPr>
      </w:pPr>
    </w:p>
    <w:p w14:paraId="48F0ADF8">
      <w:pPr>
        <w:pStyle w:val="5"/>
        <w:spacing w:before="93"/>
        <w:rPr>
          <w:rFonts w:hAnsi="Calibri" w:cs="仿宋"/>
          <w:sz w:val="32"/>
          <w:szCs w:val="32"/>
        </w:rPr>
      </w:pPr>
    </w:p>
    <w:p w14:paraId="657FC837">
      <w:pPr>
        <w:pStyle w:val="5"/>
        <w:spacing w:before="93"/>
        <w:rPr>
          <w:rFonts w:hAnsi="Calibri" w:cs="仿宋"/>
          <w:sz w:val="32"/>
          <w:szCs w:val="32"/>
        </w:rPr>
      </w:pPr>
    </w:p>
    <w:p w14:paraId="14801062">
      <w:pPr>
        <w:pStyle w:val="5"/>
        <w:spacing w:before="93"/>
        <w:rPr>
          <w:rFonts w:hAnsi="Calibri" w:cs="仿宋"/>
          <w:sz w:val="32"/>
          <w:szCs w:val="32"/>
        </w:rPr>
      </w:pPr>
    </w:p>
    <w:p w14:paraId="6DF040FD">
      <w:pPr>
        <w:pStyle w:val="5"/>
        <w:spacing w:before="93"/>
        <w:rPr>
          <w:rFonts w:hAnsi="Calibri" w:cs="仿宋"/>
          <w:sz w:val="32"/>
          <w:szCs w:val="32"/>
        </w:rPr>
      </w:pPr>
    </w:p>
    <w:p w14:paraId="5771AB39">
      <w:pPr>
        <w:pStyle w:val="5"/>
        <w:spacing w:before="93"/>
        <w:rPr>
          <w:rFonts w:hAnsi="Calibri" w:cs="仿宋"/>
          <w:sz w:val="32"/>
          <w:szCs w:val="32"/>
        </w:rPr>
      </w:pPr>
    </w:p>
    <w:p w14:paraId="2CF7859B">
      <w:pPr>
        <w:pStyle w:val="5"/>
        <w:spacing w:before="93"/>
        <w:rPr>
          <w:rFonts w:hAnsi="Calibri" w:cs="仿宋"/>
          <w:sz w:val="32"/>
          <w:szCs w:val="32"/>
        </w:rPr>
      </w:pPr>
    </w:p>
    <w:p w14:paraId="233A0BD9">
      <w:pPr>
        <w:pStyle w:val="5"/>
        <w:spacing w:before="93"/>
        <w:rPr>
          <w:rFonts w:hAnsi="Calibri" w:cs="仿宋"/>
          <w:sz w:val="32"/>
          <w:szCs w:val="32"/>
        </w:rPr>
      </w:pPr>
    </w:p>
    <w:p w14:paraId="2374181A">
      <w:pPr>
        <w:pStyle w:val="5"/>
        <w:spacing w:before="93"/>
        <w:rPr>
          <w:rFonts w:hAnsi="Calibri" w:cs="仿宋"/>
          <w:sz w:val="32"/>
          <w:szCs w:val="32"/>
        </w:rPr>
      </w:pPr>
    </w:p>
    <w:p w14:paraId="4EA5E029">
      <w:pPr>
        <w:pStyle w:val="5"/>
        <w:spacing w:before="93"/>
        <w:rPr>
          <w:rFonts w:hAnsi="Calibri" w:cs="仿宋"/>
          <w:sz w:val="32"/>
          <w:szCs w:val="32"/>
        </w:rPr>
      </w:pPr>
    </w:p>
    <w:p w14:paraId="44FA89F7">
      <w:pPr>
        <w:pStyle w:val="5"/>
        <w:spacing w:before="93"/>
        <w:rPr>
          <w:rFonts w:hAnsi="Calibri" w:cs="仿宋"/>
          <w:sz w:val="32"/>
          <w:szCs w:val="32"/>
        </w:rPr>
      </w:pPr>
    </w:p>
    <w:p w14:paraId="4147DC05">
      <w:pPr>
        <w:pStyle w:val="5"/>
        <w:spacing w:before="93"/>
        <w:rPr>
          <w:rFonts w:hAnsi="Calibri" w:cs="仿宋"/>
          <w:sz w:val="32"/>
          <w:szCs w:val="32"/>
        </w:rPr>
      </w:pPr>
    </w:p>
    <w:p w14:paraId="665804B0">
      <w:pPr>
        <w:pStyle w:val="5"/>
        <w:spacing w:before="93"/>
        <w:rPr>
          <w:rFonts w:hAnsi="Calibri" w:cs="仿宋"/>
          <w:sz w:val="32"/>
          <w:szCs w:val="32"/>
        </w:rPr>
      </w:pPr>
    </w:p>
    <w:p w14:paraId="3F0C4997">
      <w:pPr>
        <w:pStyle w:val="5"/>
        <w:spacing w:before="93"/>
        <w:rPr>
          <w:rFonts w:hAnsi="Calibri" w:cs="仿宋"/>
          <w:sz w:val="32"/>
          <w:szCs w:val="32"/>
        </w:rPr>
      </w:pPr>
    </w:p>
    <w:p w14:paraId="620B5E47">
      <w:pPr>
        <w:pStyle w:val="5"/>
        <w:spacing w:before="93"/>
        <w:rPr>
          <w:rFonts w:hAnsi="Calibri" w:cs="仿宋"/>
          <w:sz w:val="32"/>
          <w:szCs w:val="32"/>
        </w:rPr>
      </w:pPr>
    </w:p>
    <w:p w14:paraId="4DC7A210">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70D0F31C">
      <w:pPr>
        <w:pStyle w:val="3"/>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1A51D623">
      <w:pPr>
        <w:pStyle w:val="3"/>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741B476B">
      <w:pPr>
        <w:pStyle w:val="3"/>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33F658F3">
      <w:pPr>
        <w:pStyle w:val="3"/>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4C7E3490">
      <w:pPr>
        <w:pStyle w:val="3"/>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0B1896F2">
      <w:pPr>
        <w:pStyle w:val="3"/>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w:t>
      </w:r>
      <w:bookmarkStart w:id="67" w:name="_GoBack"/>
      <w:bookmarkEnd w:id="67"/>
      <w:r>
        <w:rPr>
          <w:rStyle w:val="28"/>
          <w:rFonts w:hint="eastAsia" w:ascii="仿宋" w:hAnsi="仿宋" w:eastAsia="仿宋"/>
          <w:b w:val="0"/>
          <w:bCs w:val="0"/>
        </w:rPr>
        <w:t>出决算表</w:t>
      </w:r>
      <w:bookmarkEnd w:id="59"/>
    </w:p>
    <w:p w14:paraId="5859FDE1">
      <w:pPr>
        <w:pStyle w:val="3"/>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4DAA298A">
      <w:pPr>
        <w:pStyle w:val="3"/>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791ADBD6">
      <w:pPr>
        <w:pStyle w:val="3"/>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621F6090">
      <w:pPr>
        <w:pStyle w:val="3"/>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3B06E3E9">
      <w:pPr>
        <w:pStyle w:val="3"/>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021ABA90">
      <w:pPr>
        <w:pStyle w:val="3"/>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4C984737">
      <w:pPr>
        <w:pStyle w:val="3"/>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794DBC3">
        <w:pPr>
          <w:pStyle w:val="9"/>
          <w:jc w:val="center"/>
        </w:pPr>
        <w:r>
          <w:fldChar w:fldCharType="begin"/>
        </w:r>
        <w:r>
          <w:instrText xml:space="preserve">PAGE   \* MERGEFORMAT</w:instrText>
        </w:r>
        <w:r>
          <w:fldChar w:fldCharType="separate"/>
        </w:r>
        <w:r>
          <w:rPr>
            <w:lang w:val="zh-CN"/>
          </w:rPr>
          <w:t>15</w:t>
        </w:r>
        <w:r>
          <w:fldChar w:fldCharType="end"/>
        </w:r>
      </w:p>
    </w:sdtContent>
  </w:sdt>
  <w:p w14:paraId="10AC992E">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264C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NjNkYjc1ZGQ5N2UwZWY2MGVjYTRjNWViNDYxOT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8F10653"/>
    <w:rsid w:val="0A2032A3"/>
    <w:rsid w:val="0B8A37D8"/>
    <w:rsid w:val="0F5FFB2F"/>
    <w:rsid w:val="0FFFCF60"/>
    <w:rsid w:val="10C055FF"/>
    <w:rsid w:val="118107EC"/>
    <w:rsid w:val="11DD6519"/>
    <w:rsid w:val="131B1F7F"/>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D09356D"/>
    <w:rsid w:val="3DF23B16"/>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7770C7B"/>
    <w:rsid w:val="5F67802D"/>
    <w:rsid w:val="5F7DC4F2"/>
    <w:rsid w:val="5FB36814"/>
    <w:rsid w:val="5FBB8E56"/>
    <w:rsid w:val="5FFB5535"/>
    <w:rsid w:val="64CA39A1"/>
    <w:rsid w:val="691B3B5C"/>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1316F"/>
    <w:rsid w:val="7DED9490"/>
    <w:rsid w:val="7DFF4872"/>
    <w:rsid w:val="7E7487E6"/>
    <w:rsid w:val="7E7C2A54"/>
    <w:rsid w:val="7EEA10DF"/>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5.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收入总计</c:v>
                </c:pt>
                <c:pt idx="1">
                  <c:v>支出总计</c:v>
                </c:pt>
              </c:strCache>
            </c:strRef>
          </c:cat>
          <c:val>
            <c:numRef>
              <c:f>Sheet1!$B$2:$B$3</c:f>
              <c:numCache>
                <c:formatCode>General</c:formatCode>
                <c:ptCount val="2"/>
                <c:pt idx="0">
                  <c:v>1527.8</c:v>
                </c:pt>
                <c:pt idx="1">
                  <c:v>1527.8</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收入总计</c:v>
                </c:pt>
                <c:pt idx="1">
                  <c:v>支出总计</c:v>
                </c:pt>
              </c:strCache>
            </c:strRef>
          </c:cat>
          <c:val>
            <c:numRef>
              <c:f>Sheet1!$C$2:$C$3</c:f>
              <c:numCache>
                <c:formatCode>General</c:formatCode>
                <c:ptCount val="2"/>
                <c:pt idx="0">
                  <c:v>1876.5</c:v>
                </c:pt>
                <c:pt idx="1">
                  <c:v>1876.5</c:v>
                </c:pt>
              </c:numCache>
            </c:numRef>
          </c:val>
        </c:ser>
        <c:dLbls>
          <c:showLegendKey val="0"/>
          <c:showVal val="1"/>
          <c:showCatName val="0"/>
          <c:showSerName val="0"/>
          <c:showPercent val="0"/>
          <c:showBubbleSize val="0"/>
        </c:dLbls>
        <c:gapWidth val="246"/>
        <c:overlap val="-28"/>
        <c:axId val="620830124"/>
        <c:axId val="26373816"/>
      </c:barChart>
      <c:catAx>
        <c:axId val="6208301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3816"/>
        <c:crosses val="autoZero"/>
        <c:auto val="1"/>
        <c:lblAlgn val="ctr"/>
        <c:lblOffset val="100"/>
        <c:noMultiLvlLbl val="0"/>
      </c:catAx>
      <c:valAx>
        <c:axId val="26373816"/>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08301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45746e0-23d6-4abf-9ae5-a3a6534a03a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1" i="0" u="none" strike="noStrike" kern="1200" baseline="0">
                <a:solidFill>
                  <a:sysClr val="windowText" lastClr="000000">
                    <a:lumMod val="75000"/>
                    <a:lumOff val="25000"/>
                  </a:sys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rgbClr val="4F81BD"/>
              </a:solidFill>
              <a:ln>
                <a:solidFill>
                  <a:sysClr val="window" lastClr="FFFFFF"/>
                </a:solidFill>
              </a:ln>
              <a:effectLst/>
            </c:spPr>
          </c:dPt>
          <c:dPt>
            <c:idx val="1"/>
            <c:bubble3D val="0"/>
            <c:spPr>
              <a:solidFill>
                <a:srgbClr val="C0504D"/>
              </a:solidFill>
              <a:ln>
                <a:solidFill>
                  <a:sysClr val="window" lastClr="FFFFFF"/>
                </a:solidFill>
              </a:ln>
              <a:effectLst/>
            </c:spPr>
          </c:dPt>
          <c:dPt>
            <c:idx val="2"/>
            <c:bubble3D val="0"/>
            <c:spPr>
              <a:solidFill>
                <a:srgbClr val="9BBB59"/>
              </a:solidFill>
              <a:ln>
                <a:solidFill>
                  <a:sysClr val="window" lastClr="FFFFFF"/>
                </a:solidFill>
              </a:ln>
              <a:effectLst/>
            </c:spPr>
          </c:dPt>
          <c:dPt>
            <c:idx val="3"/>
            <c:bubble3D val="0"/>
            <c:spPr>
              <a:solidFill>
                <a:srgbClr val="8064A2"/>
              </a:solidFill>
              <a:ln>
                <a:solidFill>
                  <a:sysClr val="window" lastClr="FFFFFF"/>
                </a:solidFill>
              </a:ln>
              <a:effectLst/>
            </c:spPr>
          </c:dPt>
          <c:dPt>
            <c:idx val="4"/>
            <c:bubble3D val="0"/>
            <c:spPr>
              <a:solidFill>
                <a:srgbClr val="4BACC6"/>
              </a:solidFill>
              <a:ln>
                <a:solidFill>
                  <a:sysClr val="window" lastClr="FFFFFF"/>
                </a:solidFill>
              </a:ln>
              <a:effectLst/>
            </c:spPr>
          </c:dPt>
          <c:dPt>
            <c:idx val="5"/>
            <c:bubble3D val="0"/>
            <c:spPr>
              <a:solidFill>
                <a:srgbClr val="F79646"/>
              </a:solidFill>
              <a:ln>
                <a:solidFill>
                  <a:sysClr val="window" lastClr="FFFFFF"/>
                </a:solidFill>
              </a:ln>
              <a:effectLst/>
            </c:spPr>
          </c:dPt>
          <c:dPt>
            <c:idx val="6"/>
            <c:bubble3D val="0"/>
            <c:spPr>
              <a:solidFill>
                <a:srgbClr val="4F81BD">
                  <a:lumMod val="60000"/>
                </a:srgbClr>
              </a:solidFill>
              <a:ln>
                <a:solidFill>
                  <a:sysClr val="window" lastClr="FFFFFF"/>
                </a:solidFill>
              </a:ln>
              <a:effectLst/>
            </c:spPr>
          </c:dPt>
          <c:dPt>
            <c:idx val="7"/>
            <c:bubble3D val="0"/>
            <c:spPr>
              <a:solidFill>
                <a:srgbClr val="C0504D">
                  <a:lumMod val="60000"/>
                </a:srgbClr>
              </a:solidFill>
              <a:ln>
                <a:solidFill>
                  <a:sysClr val="window" lastClr="FFFFFF"/>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lumMod val="75000"/>
                        <a:lumOff val="25000"/>
                      </a:sys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Sheet1!$A$2:$A$9</c:f>
              <c:strCache>
                <c:ptCount val="8"/>
                <c:pt idx="0">
                  <c:v>一般公共预算财政拨款收入</c:v>
                </c:pt>
                <c:pt idx="1">
                  <c:v>政府性基金预算财政拨款</c:v>
                </c:pt>
                <c:pt idx="2">
                  <c:v>国有资本经营预算财政拨款收入</c:v>
                </c:pt>
                <c:pt idx="3">
                  <c:v>上级补助收入</c:v>
                </c:pt>
                <c:pt idx="4">
                  <c:v>事业收入</c:v>
                </c:pt>
                <c:pt idx="5">
                  <c:v>营业收入</c:v>
                </c:pt>
                <c:pt idx="6">
                  <c:v>附属单位上缴收入</c:v>
                </c:pt>
                <c:pt idx="7">
                  <c:v>其他收入</c:v>
                </c:pt>
              </c:strCache>
            </c:strRef>
          </c:cat>
          <c:val>
            <c:numRef>
              <c:f>Sheet1!$B$2:$B$9</c:f>
              <c:numCache>
                <c:formatCode>General</c:formatCode>
                <c:ptCount val="8"/>
                <c:pt idx="0">
                  <c:v>1876.5</c:v>
                </c:pt>
                <c:pt idx="1">
                  <c:v>0</c:v>
                </c:pt>
                <c:pt idx="2">
                  <c:v>0</c:v>
                </c:pt>
                <c:pt idx="3">
                  <c:v>0</c:v>
                </c:pt>
                <c:pt idx="4">
                  <c:v>0</c:v>
                </c:pt>
                <c:pt idx="5">
                  <c:v>0</c:v>
                </c:pt>
                <c:pt idx="6">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extLst>
      <c:ext uri="{0b15fc19-7d7d-44ad-8c2d-2c3a37ce22c3}">
        <chartProps xmlns="https://web.wps.cn/et/2018/main" chartId="{78a7d9ae-ba28-4cb2-aa6d-d8dbf44b174d}"/>
      </c:ext>
    </c:extLst>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1" i="0" u="none" strike="noStrike" kern="1200" baseline="0">
                <a:solidFill>
                  <a:sysClr val="windowText" lastClr="000000">
                    <a:lumMod val="75000"/>
                    <a:lumOff val="25000"/>
                  </a:sys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rgbClr val="4F81BD"/>
              </a:solidFill>
              <a:ln>
                <a:solidFill>
                  <a:sysClr val="window" lastClr="FFFFFF"/>
                </a:solidFill>
              </a:ln>
              <a:effectLst/>
            </c:spPr>
          </c:dPt>
          <c:dPt>
            <c:idx val="1"/>
            <c:bubble3D val="0"/>
            <c:spPr>
              <a:solidFill>
                <a:srgbClr val="C0504D"/>
              </a:solidFill>
              <a:ln>
                <a:solidFill>
                  <a:sysClr val="window" lastClr="FFFFFF"/>
                </a:solidFill>
              </a:ln>
              <a:effectLst/>
            </c:spPr>
          </c:dPt>
          <c:dPt>
            <c:idx val="2"/>
            <c:bubble3D val="0"/>
            <c:spPr>
              <a:solidFill>
                <a:srgbClr val="9BBB59"/>
              </a:solidFill>
              <a:ln>
                <a:solidFill>
                  <a:sysClr val="window" lastClr="FFFFFF"/>
                </a:solidFill>
              </a:ln>
              <a:effectLst/>
            </c:spPr>
          </c:dPt>
          <c:dPt>
            <c:idx val="3"/>
            <c:bubble3D val="0"/>
            <c:spPr>
              <a:solidFill>
                <a:srgbClr val="8064A2"/>
              </a:solidFill>
              <a:ln>
                <a:solidFill>
                  <a:sysClr val="window" lastClr="FFFFFF"/>
                </a:solidFill>
              </a:ln>
              <a:effectLst/>
            </c:spPr>
          </c:dPt>
          <c:dPt>
            <c:idx val="4"/>
            <c:bubble3D val="0"/>
            <c:spPr>
              <a:solidFill>
                <a:srgbClr val="4BACC6"/>
              </a:solidFill>
              <a:ln>
                <a:solidFill>
                  <a:sysClr val="window" lastClr="FFFFFF"/>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lumMod val="75000"/>
                        <a:lumOff val="25000"/>
                      </a:sys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1534.32</c:v>
                </c:pt>
                <c:pt idx="1">
                  <c:v>342.18</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extLst>
      <c:ext uri="{0b15fc19-7d7d-44ad-8c2d-2c3a37ce22c3}">
        <chartProps xmlns="https://web.wps.cn/et/2018/main" chartId="{30818705-8682-454c-8375-cf4e39b31ff4}"/>
      </c:ext>
    </c:extLst>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1" i="0" u="none" strike="noStrike" kern="1200" baseline="0">
                <a:solidFill>
                  <a:sysClr val="windowText" lastClr="000000">
                    <a:lumMod val="75000"/>
                    <a:lumOff val="25000"/>
                  </a:sys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财政拨款收入</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1527.8</c:v>
                </c:pt>
                <c:pt idx="1">
                  <c:v>1876.5</c:v>
                </c:pt>
              </c:numCache>
            </c:numRef>
          </c:val>
        </c:ser>
        <c:ser>
          <c:idx val="1"/>
          <c:order val="1"/>
          <c:tx>
            <c:strRef>
              <c:f>Sheet1!$C$1</c:f>
              <c:strCache>
                <c:ptCount val="1"/>
                <c:pt idx="0">
                  <c:v>财政拨款支出</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1527.8</c:v>
                </c:pt>
                <c:pt idx="1">
                  <c:v>1876.5</c:v>
                </c:pt>
              </c:numCache>
            </c:numRef>
          </c:val>
        </c:ser>
        <c:dLbls>
          <c:showLegendKey val="0"/>
          <c:showVal val="1"/>
          <c:showCatName val="0"/>
          <c:showSerName val="0"/>
          <c:showPercent val="0"/>
          <c:showBubbleSize val="0"/>
        </c:dLbls>
        <c:gapWidth val="246"/>
        <c:overlap val="-28"/>
        <c:axId val="49133284"/>
        <c:axId val="294632640"/>
      </c:barChart>
      <c:catAx>
        <c:axId val="49133284"/>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294632640"/>
        <c:crosses val="autoZero"/>
        <c:auto val="1"/>
        <c:lblAlgn val="ctr"/>
        <c:lblOffset val="100"/>
        <c:noMultiLvlLbl val="0"/>
      </c:catAx>
      <c:valAx>
        <c:axId val="294632640"/>
        <c:scaling>
          <c:orientation val="minMax"/>
        </c:scaling>
        <c:delete val="0"/>
        <c:axPos val="l"/>
        <c:majorGridlines>
          <c:spPr>
            <a:ln w="9525" cap="flat" cmpd="sng" algn="ctr">
              <a:solidFill>
                <a:sysClr val="window" lastClr="FFFFFF">
                  <a:lumMod val="90200"/>
                </a:sys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91332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extLst>
      <c:ext uri="{0b15fc19-7d7d-44ad-8c2d-2c3a37ce22c3}">
        <chartProps xmlns="https://web.wps.cn/et/2018/main" chartId="{a4706c45-cb9b-4545-8650-cc8ee817021d}"/>
      </c:ext>
    </c:extLst>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1" i="0" u="none" strike="noStrike" kern="1200" baseline="0">
                <a:solidFill>
                  <a:sysClr val="windowText" lastClr="000000">
                    <a:lumMod val="75000"/>
                    <a:lumOff val="25000"/>
                  </a:sys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lumMod val="75000"/>
                        <a:lumOff val="25000"/>
                      </a:sys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1527.8</c:v>
                </c:pt>
                <c:pt idx="1">
                  <c:v>1876.5</c:v>
                </c:pt>
              </c:numCache>
            </c:numRef>
          </c:val>
        </c:ser>
        <c:dLbls>
          <c:showLegendKey val="0"/>
          <c:showVal val="1"/>
          <c:showCatName val="0"/>
          <c:showSerName val="0"/>
          <c:showPercent val="0"/>
          <c:showBubbleSize val="0"/>
        </c:dLbls>
        <c:gapWidth val="75"/>
        <c:overlap val="40"/>
        <c:axId val="349995264"/>
        <c:axId val="477048546"/>
      </c:barChart>
      <c:catAx>
        <c:axId val="349995264"/>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77048546"/>
        <c:crosses val="autoZero"/>
        <c:auto val="1"/>
        <c:lblAlgn val="ctr"/>
        <c:lblOffset val="100"/>
        <c:noMultiLvlLbl val="0"/>
      </c:catAx>
      <c:valAx>
        <c:axId val="477048546"/>
        <c:scaling>
          <c:orientation val="minMax"/>
        </c:scaling>
        <c:delete val="0"/>
        <c:axPos val="l"/>
        <c:majorGridlines>
          <c:spPr>
            <a:ln w="9525" cap="flat" cmpd="sng" algn="ctr">
              <a:solidFill>
                <a:sysClr val="window" lastClr="FFFFFF">
                  <a:lumMod val="90200"/>
                </a:sys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349995264"/>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extLst>
      <c:ext uri="{0b15fc19-7d7d-44ad-8c2d-2c3a37ce22c3}">
        <chartProps xmlns="https://web.wps.cn/et/2018/main" chartId="{9cf13adf-139a-4a36-b6de-44a305c568d3}"/>
      </c:ext>
    </c:extLst>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1" i="0" u="none" strike="noStrike" kern="1200" baseline="0">
                <a:solidFill>
                  <a:sysClr val="windowText" lastClr="000000">
                    <a:lumMod val="75000"/>
                    <a:lumOff val="25000"/>
                  </a:sys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支出金额</c:v>
                </c:pt>
              </c:strCache>
            </c:strRef>
          </c:tx>
          <c:spPr/>
          <c:explosion val="0"/>
          <c:dPt>
            <c:idx val="0"/>
            <c:bubble3D val="0"/>
            <c:spPr>
              <a:solidFill>
                <a:srgbClr val="4F81BD"/>
              </a:solidFill>
              <a:ln>
                <a:solidFill>
                  <a:sysClr val="window" lastClr="FFFFFF"/>
                </a:solidFill>
              </a:ln>
              <a:effectLst/>
            </c:spPr>
          </c:dPt>
          <c:dPt>
            <c:idx val="1"/>
            <c:bubble3D val="0"/>
            <c:spPr>
              <a:solidFill>
                <a:srgbClr val="C0504D"/>
              </a:solidFill>
              <a:ln>
                <a:solidFill>
                  <a:sysClr val="window" lastClr="FFFFFF"/>
                </a:solidFill>
              </a:ln>
              <a:effectLst/>
            </c:spPr>
          </c:dPt>
          <c:dPt>
            <c:idx val="2"/>
            <c:bubble3D val="0"/>
            <c:spPr>
              <a:solidFill>
                <a:srgbClr val="9BBB59"/>
              </a:solidFill>
              <a:ln>
                <a:solidFill>
                  <a:sysClr val="window" lastClr="FFFFFF"/>
                </a:solidFill>
              </a:ln>
              <a:effectLst/>
            </c:spPr>
          </c:dPt>
          <c:dPt>
            <c:idx val="3"/>
            <c:bubble3D val="0"/>
            <c:spPr>
              <a:solidFill>
                <a:srgbClr val="8064A2"/>
              </a:solidFill>
              <a:ln>
                <a:solidFill>
                  <a:sysClr val="window" lastClr="FFFFFF"/>
                </a:solidFill>
              </a:ln>
              <a:effectLst/>
            </c:spPr>
          </c:dPt>
          <c:dPt>
            <c:idx val="4"/>
            <c:bubble3D val="0"/>
            <c:spPr>
              <a:solidFill>
                <a:srgbClr val="4BACC6"/>
              </a:solidFill>
              <a:ln>
                <a:solidFill>
                  <a:sysClr val="window" lastClr="FFFFFF"/>
                </a:solidFill>
              </a:ln>
              <a:effectLst/>
            </c:spPr>
          </c:dPt>
          <c:dPt>
            <c:idx val="5"/>
            <c:bubble3D val="0"/>
            <c:spPr>
              <a:solidFill>
                <a:srgbClr val="F79646"/>
              </a:solidFill>
              <a:ln>
                <a:solidFill>
                  <a:sysClr val="window" lastClr="FFFFFF"/>
                </a:solidFill>
              </a:ln>
              <a:effectLst/>
            </c:spPr>
          </c:dPt>
          <c:dPt>
            <c:idx val="6"/>
            <c:bubble3D val="0"/>
            <c:spPr>
              <a:solidFill>
                <a:srgbClr val="4F81BD">
                  <a:lumMod val="60000"/>
                </a:srgbClr>
              </a:solidFill>
              <a:ln>
                <a:solidFill>
                  <a:sysClr val="window" lastClr="FFFFFF"/>
                </a:solidFill>
              </a:ln>
              <a:effectLst/>
            </c:spPr>
          </c:dPt>
          <c:dPt>
            <c:idx val="7"/>
            <c:bubble3D val="0"/>
            <c:spPr>
              <a:solidFill>
                <a:srgbClr val="C0504D">
                  <a:lumMod val="60000"/>
                </a:srgbClr>
              </a:solidFill>
              <a:ln>
                <a:solidFill>
                  <a:sysClr val="window" lastClr="FFFFFF"/>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lumMod val="75000"/>
                        <a:lumOff val="25000"/>
                      </a:sys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Sheet1!$A$2:$A$9</c:f>
              <c:strCache>
                <c:ptCount val="8"/>
                <c:pt idx="0">
                  <c:v>一般公共服务支出</c:v>
                </c:pt>
                <c:pt idx="1">
                  <c:v>教育支出</c:v>
                </c:pt>
                <c:pt idx="2">
                  <c:v>科学技术支出</c:v>
                </c:pt>
                <c:pt idx="3">
                  <c:v>文化旅游体育与传媒支出</c:v>
                </c:pt>
                <c:pt idx="4">
                  <c:v>公共安全（类）支出</c:v>
                </c:pt>
                <c:pt idx="5">
                  <c:v>社会保障和就业支出</c:v>
                </c:pt>
                <c:pt idx="6">
                  <c:v>卫生健康支出</c:v>
                </c:pt>
                <c:pt idx="7">
                  <c:v>住房保障支出</c:v>
                </c:pt>
              </c:strCache>
            </c:strRef>
          </c:cat>
          <c:val>
            <c:numRef>
              <c:f>Sheet1!$B$2:$B$9</c:f>
              <c:numCache>
                <c:formatCode>General</c:formatCode>
                <c:ptCount val="8"/>
                <c:pt idx="0">
                  <c:v>0</c:v>
                </c:pt>
                <c:pt idx="1">
                  <c:v>0</c:v>
                </c:pt>
                <c:pt idx="2">
                  <c:v>0</c:v>
                </c:pt>
                <c:pt idx="3">
                  <c:v>0</c:v>
                </c:pt>
                <c:pt idx="4">
                  <c:v>1596.09</c:v>
                </c:pt>
                <c:pt idx="5">
                  <c:v>118.9</c:v>
                </c:pt>
                <c:pt idx="6">
                  <c:v>67.09</c:v>
                </c:pt>
                <c:pt idx="7">
                  <c:v>94.32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extLst>
      <c:ext uri="{0b15fc19-7d7d-44ad-8c2d-2c3a37ce22c3}">
        <chartProps xmlns="https://web.wps.cn/et/2018/main" chartId="{8214c751-5ead-4fe2-8362-7ee4330819a8}"/>
      </c:ext>
    </c:extLst>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10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ysClr val="windowText" lastClr="000000"/>
    </cs:fontRef>
    <cs:spPr>
      <a:ln>
        <a:solidFill>
          <a:sysClr val="window" lastClr="FFFFFF"/>
        </a:solidFill>
      </a:ln>
      <a:effectLst/>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 lastClr="FFFFFF">
            <a:lumMod val="902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75000"/>
        <a:lumOff val="25000"/>
      </a:sysClr>
    </cs:fontRef>
    <cs:defRPr sz="1400" b="1" kern="120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xml><?xml version="1.0" encoding="utf-8"?>
<cs:chartStyle xmlns:cs="http://schemas.microsoft.com/office/drawing/2012/chartStyle" xmlns:a="http://schemas.openxmlformats.org/drawingml/2006/main" id="10002">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10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ysClr val="windowText" lastClr="000000"/>
    </cs:fontRef>
    <cs:spPr>
      <a:ln>
        <a:noFill/>
      </a:ln>
      <a:effectLst/>
    </cs:spPr>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 lastClr="FFFFFF">
            <a:lumMod val="902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75000"/>
        <a:lumOff val="25000"/>
      </a:sysClr>
    </cs:fontRef>
    <cs:defRPr sz="1400" b="1" kern="120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10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ysClr val="windowText" lastClr="000000"/>
    </cs:fontRef>
    <cs:spPr>
      <a:ln>
        <a:solidFill>
          <a:sysClr val="window" lastClr="FFFFFF"/>
        </a:solidFill>
      </a:ln>
      <a:effectLst/>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 lastClr="FFFFFF">
            <a:lumMod val="902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75000"/>
        <a:lumOff val="25000"/>
      </a:sysClr>
    </cs:fontRef>
    <cs:defRPr sz="1400" b="1" kern="120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10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ysClr val="windowText" lastClr="000000"/>
    </cs:fontRef>
    <cs:spPr>
      <a:ln>
        <a:solidFill>
          <a:sysClr val="window" lastClr="FFFFFF"/>
        </a:solidFill>
      </a:ln>
      <a:effectLst/>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 lastClr="FFFFFF">
            <a:lumMod val="902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75000"/>
        <a:lumOff val="25000"/>
      </a:sysClr>
    </cs:fontRef>
    <cs:defRPr sz="1400" b="1" kern="120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10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ysClr val="windowText" lastClr="000000"/>
    </cs:fontRef>
    <cs:spPr>
      <a:ln>
        <a:noFill/>
      </a:ln>
      <a:effectLst/>
    </cs:spPr>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 lastClr="FFFFFF">
            <a:lumMod val="902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75000"/>
        <a:lumOff val="25000"/>
      </a:sysClr>
    </cs:fontRef>
    <cs:defRPr sz="1400" b="1" kern="120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四川省财政厅</Company>
  <Pages>32</Pages>
  <Words>11807</Words>
  <Characters>13173</Characters>
  <Lines>54</Lines>
  <Paragraphs>15</Paragraphs>
  <TotalTime>4</TotalTime>
  <ScaleCrop>false</ScaleCrop>
  <LinksUpToDate>false</LinksUpToDate>
  <CharactersWithSpaces>13219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卷</cp:lastModifiedBy>
  <cp:lastPrinted>2023-08-03T02:35:00Z</cp:lastPrinted>
  <dcterms:modified xsi:type="dcterms:W3CDTF">2024-11-12T02:31:55Z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F376466F509747B4AE557355647E6E79_12</vt:lpwstr>
  </property>
</Properties>
</file>