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DE5B8">
      <w:pPr>
        <w:spacing w:line="600" w:lineRule="exact"/>
        <w:jc w:val="left"/>
        <w:outlineLvl w:val="0"/>
        <w:rPr>
          <w:rFonts w:ascii="方正小标宋简体" w:hAnsi="宋体" w:eastAsia="方正小标宋简体"/>
          <w:szCs w:val="21"/>
        </w:rPr>
      </w:pPr>
      <w:bookmarkStart w:id="0" w:name="_Toc15306267"/>
    </w:p>
    <w:p w14:paraId="1F2E9389">
      <w:pPr>
        <w:pStyle w:val="6"/>
        <w:spacing w:before="93"/>
      </w:pPr>
    </w:p>
    <w:p w14:paraId="33E3DC82">
      <w:pPr>
        <w:spacing w:line="600" w:lineRule="exact"/>
        <w:jc w:val="center"/>
        <w:outlineLvl w:val="0"/>
        <w:rPr>
          <w:rFonts w:ascii="方正小标宋简体" w:hAnsi="宋体" w:eastAsia="方正小标宋简体"/>
          <w:sz w:val="72"/>
          <w:szCs w:val="72"/>
        </w:rPr>
      </w:pPr>
    </w:p>
    <w:p w14:paraId="2B0336AB">
      <w:pPr>
        <w:spacing w:line="600" w:lineRule="exact"/>
        <w:jc w:val="center"/>
        <w:outlineLvl w:val="0"/>
        <w:rPr>
          <w:rFonts w:ascii="方正小标宋简体" w:hAnsi="宋体" w:eastAsia="方正小标宋简体"/>
          <w:sz w:val="72"/>
          <w:szCs w:val="72"/>
        </w:rPr>
      </w:pPr>
    </w:p>
    <w:p w14:paraId="073D1B51">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15396475"/>
      <w:bookmarkStart w:id="4" w:name="_Toc15396597"/>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0717B83">
      <w:pPr>
        <w:widowControl/>
        <w:jc w:val="center"/>
        <w:rPr>
          <w:rFonts w:ascii="方正小标宋简体" w:hAnsi="宋体" w:eastAsia="方正小标宋简体"/>
          <w:sz w:val="72"/>
          <w:szCs w:val="72"/>
        </w:rPr>
      </w:pPr>
      <w:bookmarkStart w:id="6" w:name="_Toc55892331"/>
      <w:bookmarkStart w:id="7" w:name="_Toc15377194"/>
      <w:bookmarkStart w:id="8" w:name="_Toc55893384"/>
      <w:bookmarkStart w:id="9" w:name="_Toc15396598"/>
      <w:bookmarkStart w:id="10" w:name="_Toc15396476"/>
      <w:bookmarkStart w:id="11" w:name="_Toc55892953"/>
      <w:bookmarkStart w:id="12" w:name="_Toc55893200"/>
      <w:bookmarkStart w:id="13" w:name="_Toc55893090"/>
      <w:bookmarkStart w:id="14" w:name="_Toc55892486"/>
      <w:bookmarkStart w:id="15" w:name="_Toc15377426"/>
      <w:bookmarkStart w:id="16" w:name="_Toc15378442"/>
      <w:bookmarkStart w:id="17" w:name="_Toc55836996"/>
      <w:r>
        <w:rPr>
          <w:rFonts w:hint="eastAsia" w:ascii="方正小标宋简体" w:hAnsi="宋体" w:eastAsia="方正小标宋简体"/>
          <w:sz w:val="72"/>
          <w:szCs w:val="72"/>
        </w:rPr>
        <w:t>四川省</w:t>
      </w:r>
      <w:bookmarkStart w:id="18" w:name="_Toc15306268"/>
      <w:r>
        <w:rPr>
          <w:rFonts w:hint="eastAsia" w:ascii="方正小标宋简体" w:hAnsi="宋体" w:eastAsia="方正小标宋简体"/>
          <w:sz w:val="72"/>
          <w:szCs w:val="72"/>
        </w:rPr>
        <w:t>巴中市巴州区归国华侨联合会部门决算</w:t>
      </w:r>
      <w:bookmarkEnd w:id="6"/>
      <w:bookmarkEnd w:id="7"/>
      <w:bookmarkEnd w:id="8"/>
      <w:bookmarkEnd w:id="9"/>
      <w:bookmarkEnd w:id="10"/>
      <w:bookmarkEnd w:id="11"/>
      <w:bookmarkEnd w:id="12"/>
      <w:bookmarkEnd w:id="13"/>
      <w:bookmarkEnd w:id="14"/>
      <w:bookmarkEnd w:id="15"/>
      <w:bookmarkEnd w:id="16"/>
      <w:bookmarkEnd w:id="17"/>
      <w:bookmarkEnd w:id="18"/>
    </w:p>
    <w:p w14:paraId="23675121">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B89C3DE">
      <w:pPr>
        <w:widowControl/>
        <w:jc w:val="center"/>
        <w:rPr>
          <w:rFonts w:ascii="黑体" w:hAnsi="黑体" w:eastAsia="黑体" w:cstheme="minorBidi"/>
          <w:sz w:val="28"/>
          <w:szCs w:val="28"/>
        </w:rPr>
      </w:pPr>
    </w:p>
    <w:p w14:paraId="3290AEE7">
      <w:pPr>
        <w:pStyle w:val="12"/>
      </w:pPr>
      <w:r>
        <w:rPr>
          <w:rFonts w:hint="eastAsia"/>
        </w:rPr>
        <w:t>公开时间：2024年11月12日</w:t>
      </w:r>
    </w:p>
    <w:p w14:paraId="51DC75FD"/>
    <w:p w14:paraId="099B4887">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7241C717">
      <w:pPr>
        <w:pStyle w:val="13"/>
        <w:adjustRightInd w:val="0"/>
        <w:snapToGrid w:val="0"/>
        <w:spacing w:line="440" w:lineRule="exact"/>
        <w:jc w:val="left"/>
        <w:rPr>
          <w:sz w:val="24"/>
        </w:rPr>
      </w:pPr>
      <w:r>
        <w:rPr>
          <w:rFonts w:hint="eastAsia"/>
          <w:sz w:val="24"/>
        </w:rPr>
        <w:t>一、主要职责</w:t>
      </w:r>
    </w:p>
    <w:p w14:paraId="2675C05F">
      <w:pPr>
        <w:pStyle w:val="13"/>
        <w:adjustRightInd w:val="0"/>
        <w:snapToGrid w:val="0"/>
        <w:spacing w:line="440" w:lineRule="exact"/>
        <w:jc w:val="left"/>
      </w:pPr>
      <w:r>
        <w:rPr>
          <w:rFonts w:hint="eastAsia"/>
          <w:sz w:val="24"/>
        </w:rPr>
        <w:t>二、机构设置</w:t>
      </w:r>
    </w:p>
    <w:p w14:paraId="666B61C2">
      <w:pPr>
        <w:pStyle w:val="12"/>
        <w:adjustRightInd w:val="0"/>
        <w:snapToGrid w:val="0"/>
        <w:spacing w:before="0" w:line="440" w:lineRule="exact"/>
        <w:jc w:val="left"/>
        <w:rPr>
          <w:sz w:val="24"/>
          <w:szCs w:val="24"/>
        </w:rPr>
      </w:pPr>
      <w:r>
        <w:rPr>
          <w:rFonts w:hint="eastAsia"/>
          <w:sz w:val="24"/>
        </w:rPr>
        <w:t>第二部分 2023年度单位决算情况说明</w:t>
      </w:r>
    </w:p>
    <w:p w14:paraId="6CBB2357">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76186DA7">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14:paraId="1AE7A2ED">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14:paraId="353CFC07">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355B4B6B">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1E690BBE">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508DC82E">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77F065DC">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4D90601E">
      <w:pPr>
        <w:pStyle w:val="13"/>
        <w:adjustRightInd w:val="0"/>
        <w:snapToGrid w:val="0"/>
        <w:spacing w:line="440" w:lineRule="exact"/>
        <w:jc w:val="left"/>
        <w:rPr>
          <w:sz w:val="24"/>
        </w:rPr>
      </w:pPr>
      <w:r>
        <w:rPr>
          <w:rFonts w:hint="eastAsia"/>
          <w:sz w:val="24"/>
        </w:rPr>
        <w:t>九、国有资本经营预算支出决算情况说明</w:t>
      </w:r>
    </w:p>
    <w:p w14:paraId="39C06EFB">
      <w:pPr>
        <w:pStyle w:val="13"/>
        <w:adjustRightInd w:val="0"/>
        <w:snapToGrid w:val="0"/>
        <w:spacing w:line="440" w:lineRule="exact"/>
        <w:jc w:val="left"/>
        <w:rPr>
          <w:sz w:val="24"/>
        </w:rPr>
      </w:pPr>
      <w:r>
        <w:rPr>
          <w:rFonts w:hint="eastAsia"/>
          <w:sz w:val="24"/>
        </w:rPr>
        <w:t>十、其他重要事项的情况说明</w:t>
      </w:r>
    </w:p>
    <w:p w14:paraId="13393960">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5A11F87F">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45C55931">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10A6F148">
      <w:pPr>
        <w:pStyle w:val="13"/>
        <w:adjustRightInd w:val="0"/>
        <w:snapToGrid w:val="0"/>
        <w:spacing w:line="440" w:lineRule="exact"/>
        <w:jc w:val="left"/>
        <w:rPr>
          <w:sz w:val="24"/>
        </w:rPr>
      </w:pPr>
      <w:r>
        <w:rPr>
          <w:rFonts w:hint="eastAsia"/>
          <w:sz w:val="24"/>
        </w:rPr>
        <w:t>一、收入支出决算总表</w:t>
      </w:r>
    </w:p>
    <w:p w14:paraId="2E330FBB">
      <w:pPr>
        <w:pStyle w:val="13"/>
        <w:adjustRightInd w:val="0"/>
        <w:snapToGrid w:val="0"/>
        <w:spacing w:line="440" w:lineRule="exact"/>
        <w:jc w:val="left"/>
        <w:rPr>
          <w:sz w:val="24"/>
        </w:rPr>
      </w:pPr>
      <w:r>
        <w:rPr>
          <w:rFonts w:hint="eastAsia"/>
          <w:sz w:val="24"/>
        </w:rPr>
        <w:t>二、收入决算表</w:t>
      </w:r>
    </w:p>
    <w:p w14:paraId="3D779A8C">
      <w:pPr>
        <w:pStyle w:val="13"/>
        <w:adjustRightInd w:val="0"/>
        <w:snapToGrid w:val="0"/>
        <w:spacing w:line="440" w:lineRule="exact"/>
        <w:jc w:val="left"/>
        <w:rPr>
          <w:sz w:val="24"/>
        </w:rPr>
      </w:pPr>
      <w:r>
        <w:rPr>
          <w:rFonts w:hint="eastAsia"/>
          <w:sz w:val="24"/>
        </w:rPr>
        <w:t>三、支出决算表</w:t>
      </w:r>
    </w:p>
    <w:p w14:paraId="091A955F">
      <w:pPr>
        <w:pStyle w:val="13"/>
        <w:adjustRightInd w:val="0"/>
        <w:snapToGrid w:val="0"/>
        <w:spacing w:line="440" w:lineRule="exact"/>
        <w:jc w:val="left"/>
        <w:rPr>
          <w:sz w:val="24"/>
        </w:rPr>
      </w:pPr>
      <w:r>
        <w:rPr>
          <w:rFonts w:hint="eastAsia"/>
          <w:sz w:val="24"/>
        </w:rPr>
        <w:t>四、财政拨款收入支出决算总表</w:t>
      </w:r>
    </w:p>
    <w:p w14:paraId="5E858D3C">
      <w:pPr>
        <w:pStyle w:val="13"/>
        <w:adjustRightInd w:val="0"/>
        <w:snapToGrid w:val="0"/>
        <w:spacing w:line="440" w:lineRule="exact"/>
        <w:jc w:val="left"/>
        <w:rPr>
          <w:sz w:val="24"/>
        </w:rPr>
      </w:pPr>
      <w:r>
        <w:rPr>
          <w:rFonts w:hint="eastAsia"/>
          <w:sz w:val="24"/>
        </w:rPr>
        <w:t>五、财政拨款支出决算明细表</w:t>
      </w:r>
    </w:p>
    <w:p w14:paraId="156F1248">
      <w:pPr>
        <w:pStyle w:val="13"/>
        <w:adjustRightInd w:val="0"/>
        <w:snapToGrid w:val="0"/>
        <w:spacing w:line="440" w:lineRule="exact"/>
        <w:jc w:val="left"/>
        <w:rPr>
          <w:sz w:val="24"/>
        </w:rPr>
      </w:pPr>
      <w:r>
        <w:rPr>
          <w:rFonts w:hint="eastAsia"/>
          <w:sz w:val="24"/>
        </w:rPr>
        <w:t>六、一般公共预算财政拨款支出决算表</w:t>
      </w:r>
    </w:p>
    <w:p w14:paraId="08210ADA">
      <w:pPr>
        <w:pStyle w:val="13"/>
        <w:adjustRightInd w:val="0"/>
        <w:snapToGrid w:val="0"/>
        <w:spacing w:line="440" w:lineRule="exact"/>
        <w:jc w:val="left"/>
        <w:rPr>
          <w:sz w:val="24"/>
        </w:rPr>
      </w:pPr>
      <w:r>
        <w:rPr>
          <w:rFonts w:hint="eastAsia"/>
          <w:sz w:val="24"/>
        </w:rPr>
        <w:t>七、一般公共预算财政拨款支出决算明细表</w:t>
      </w:r>
    </w:p>
    <w:p w14:paraId="5C1F6B82">
      <w:pPr>
        <w:pStyle w:val="13"/>
        <w:adjustRightInd w:val="0"/>
        <w:snapToGrid w:val="0"/>
        <w:spacing w:line="440" w:lineRule="exact"/>
        <w:jc w:val="left"/>
        <w:rPr>
          <w:sz w:val="24"/>
        </w:rPr>
      </w:pPr>
      <w:r>
        <w:rPr>
          <w:rFonts w:hint="eastAsia"/>
          <w:sz w:val="24"/>
        </w:rPr>
        <w:t>八、一般公共预算财政拨款基本支出决算明细表</w:t>
      </w:r>
    </w:p>
    <w:p w14:paraId="4513736F">
      <w:pPr>
        <w:pStyle w:val="13"/>
        <w:adjustRightInd w:val="0"/>
        <w:snapToGrid w:val="0"/>
        <w:spacing w:line="440" w:lineRule="exact"/>
        <w:jc w:val="left"/>
        <w:rPr>
          <w:sz w:val="24"/>
        </w:rPr>
      </w:pPr>
      <w:r>
        <w:rPr>
          <w:rFonts w:hint="eastAsia"/>
          <w:sz w:val="24"/>
        </w:rPr>
        <w:t>九、一般公共预算财政拨款项目支出决算表</w:t>
      </w:r>
    </w:p>
    <w:p w14:paraId="28BD27C5">
      <w:pPr>
        <w:pStyle w:val="13"/>
        <w:adjustRightInd w:val="0"/>
        <w:snapToGrid w:val="0"/>
        <w:spacing w:line="440" w:lineRule="exact"/>
        <w:jc w:val="left"/>
        <w:rPr>
          <w:sz w:val="24"/>
        </w:rPr>
      </w:pPr>
      <w:r>
        <w:rPr>
          <w:rFonts w:hint="eastAsia"/>
          <w:sz w:val="24"/>
        </w:rPr>
        <w:t>十、政府性基金预算财政拨款收入支出决算表</w:t>
      </w:r>
    </w:p>
    <w:p w14:paraId="62C42F59">
      <w:pPr>
        <w:pStyle w:val="13"/>
        <w:adjustRightInd w:val="0"/>
        <w:snapToGrid w:val="0"/>
        <w:spacing w:line="440" w:lineRule="exact"/>
        <w:jc w:val="left"/>
        <w:rPr>
          <w:sz w:val="24"/>
        </w:rPr>
      </w:pPr>
      <w:r>
        <w:rPr>
          <w:rFonts w:hint="eastAsia"/>
          <w:sz w:val="24"/>
        </w:rPr>
        <w:t>十一、国有资本经营预算财政拨款收入支出决算表</w:t>
      </w:r>
    </w:p>
    <w:p w14:paraId="10841730">
      <w:pPr>
        <w:pStyle w:val="13"/>
        <w:adjustRightInd w:val="0"/>
        <w:snapToGrid w:val="0"/>
        <w:spacing w:line="440" w:lineRule="exact"/>
        <w:jc w:val="left"/>
        <w:rPr>
          <w:sz w:val="24"/>
        </w:rPr>
      </w:pPr>
      <w:r>
        <w:rPr>
          <w:rFonts w:hint="eastAsia"/>
          <w:sz w:val="24"/>
        </w:rPr>
        <w:t>十二、国有资本经营预算财政拨款支出决算表</w:t>
      </w:r>
    </w:p>
    <w:p w14:paraId="0718C0E2">
      <w:pPr>
        <w:pStyle w:val="13"/>
        <w:adjustRightInd w:val="0"/>
        <w:snapToGrid w:val="0"/>
        <w:spacing w:line="440" w:lineRule="exact"/>
        <w:jc w:val="left"/>
        <w:rPr>
          <w:sz w:val="24"/>
        </w:rPr>
      </w:pPr>
      <w:r>
        <w:rPr>
          <w:rFonts w:hint="eastAsia"/>
          <w:sz w:val="24"/>
        </w:rPr>
        <w:t>十三、财政拨款“三公”经费支出决算表</w:t>
      </w:r>
    </w:p>
    <w:p w14:paraId="798B9E5D">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61E11AD9">
      <w:pPr>
        <w:widowControl/>
        <w:spacing w:line="440" w:lineRule="exact"/>
        <w:jc w:val="left"/>
        <w:rPr>
          <w:rFonts w:ascii="仿宋" w:hAnsi="仿宋" w:eastAsia="仿宋"/>
          <w:bCs/>
          <w:kern w:val="44"/>
          <w:sz w:val="24"/>
        </w:rPr>
      </w:pPr>
      <w:bookmarkStart w:id="19" w:name="_Toc15396599"/>
      <w:bookmarkStart w:id="20" w:name="_Toc15377196"/>
      <w:r>
        <w:rPr>
          <w:rFonts w:ascii="仿宋" w:hAnsi="仿宋" w:eastAsia="仿宋"/>
          <w:b/>
          <w:sz w:val="24"/>
        </w:rPr>
        <w:br w:type="page"/>
      </w:r>
    </w:p>
    <w:p w14:paraId="67A077B0">
      <w:pPr>
        <w:pStyle w:val="3"/>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9"/>
      <w:bookmarkEnd w:id="20"/>
    </w:p>
    <w:p w14:paraId="0CE898EA">
      <w:pPr>
        <w:pStyle w:val="4"/>
        <w:numPr>
          <w:ilvl w:val="0"/>
          <w:numId w:val="1"/>
        </w:numPr>
        <w:rPr>
          <w:rStyle w:val="28"/>
          <w:rFonts w:ascii="黑体" w:hAnsi="黑体" w:eastAsia="黑体"/>
          <w:b w:val="0"/>
          <w:bCs w:val="0"/>
        </w:rPr>
      </w:pPr>
      <w:bookmarkStart w:id="21" w:name="_Toc15377197"/>
      <w:bookmarkStart w:id="22" w:name="_Toc15396600"/>
      <w:r>
        <w:rPr>
          <w:rStyle w:val="28"/>
          <w:rFonts w:hint="eastAsia" w:ascii="黑体" w:hAnsi="黑体" w:eastAsia="黑体"/>
          <w:b w:val="0"/>
          <w:bCs w:val="0"/>
        </w:rPr>
        <w:t>主要职责</w:t>
      </w:r>
    </w:p>
    <w:p w14:paraId="09517561">
      <w:pPr>
        <w:adjustRightInd w:val="0"/>
        <w:snapToGrid w:val="0"/>
        <w:spacing w:line="460" w:lineRule="exact"/>
        <w:ind w:firstLine="640" w:firstLineChars="200"/>
        <w:rPr>
          <w:rFonts w:ascii="仿宋_GB2312" w:eastAsia="仿宋_GB2312"/>
          <w:sz w:val="32"/>
          <w:szCs w:val="32"/>
        </w:rPr>
      </w:pPr>
      <w:r>
        <w:rPr>
          <w:rFonts w:hint="eastAsia" w:ascii="仿宋_GB2312" w:eastAsia="仿宋_GB2312"/>
          <w:sz w:val="32"/>
          <w:szCs w:val="32"/>
        </w:rPr>
        <w:t>巴中市巴州区归国华侨联合会（以下简称区侨联）是区委领导下的，由归侨侨眷组成的人民团体，依法按照《中华全国归国华侨联合会章程》独立自主开展工作，为参照公务员法管理的正科级事业单位。</w:t>
      </w:r>
    </w:p>
    <w:p w14:paraId="11632D72">
      <w:pPr>
        <w:adjustRightInd w:val="0"/>
        <w:snapToGrid w:val="0"/>
        <w:spacing w:line="460" w:lineRule="exact"/>
        <w:ind w:firstLine="640" w:firstLineChars="200"/>
        <w:rPr>
          <w:rFonts w:ascii="仿宋_GB2312" w:eastAsia="仿宋_GB2312"/>
          <w:sz w:val="32"/>
          <w:szCs w:val="32"/>
        </w:rPr>
      </w:pPr>
      <w:bookmarkStart w:id="23" w:name="_Toc15377199"/>
      <w:bookmarkStart w:id="24" w:name="_Toc15378446"/>
      <w:r>
        <w:rPr>
          <w:rFonts w:hint="eastAsia" w:ascii="仿宋_GB2312" w:eastAsia="仿宋_GB2312"/>
          <w:sz w:val="32"/>
          <w:szCs w:val="32"/>
        </w:rPr>
        <w:t>1.宣传党和政府侨务工作的方针、政策，负责提出全区侨联工作的方针和计划，组织实施全区归侨、侨眷代表大会决议、决定的贯彻执行；</w:t>
      </w:r>
    </w:p>
    <w:p w14:paraId="2C924308">
      <w:pPr>
        <w:adjustRightInd w:val="0"/>
        <w:snapToGrid w:val="0"/>
        <w:spacing w:line="460" w:lineRule="exact"/>
        <w:ind w:firstLine="640" w:firstLineChars="200"/>
        <w:rPr>
          <w:rFonts w:ascii="仿宋_GB2312" w:eastAsia="仿宋_GB2312"/>
          <w:sz w:val="32"/>
          <w:szCs w:val="32"/>
        </w:rPr>
      </w:pPr>
      <w:r>
        <w:rPr>
          <w:rFonts w:hint="eastAsia" w:ascii="仿宋_GB2312" w:eastAsia="仿宋_GB2312"/>
          <w:sz w:val="32"/>
          <w:szCs w:val="32"/>
        </w:rPr>
        <w:t>2.做好海外侨胞的爱国统一战线工作，加强归侨、侨眷的法制教育和思想道德教育，团结和动员归侨、侨眷积极投身改革开放，为改革、发展、稳定服务；</w:t>
      </w:r>
    </w:p>
    <w:p w14:paraId="23ECD9E9">
      <w:pPr>
        <w:adjustRightInd w:val="0"/>
        <w:snapToGrid w:val="0"/>
        <w:spacing w:line="460" w:lineRule="exact"/>
        <w:ind w:firstLine="640" w:firstLineChars="200"/>
        <w:rPr>
          <w:rFonts w:ascii="仿宋_GB2312" w:eastAsia="仿宋_GB2312"/>
          <w:sz w:val="32"/>
          <w:szCs w:val="32"/>
        </w:rPr>
      </w:pPr>
      <w:r>
        <w:rPr>
          <w:rFonts w:hint="eastAsia" w:ascii="仿宋_GB2312" w:eastAsia="仿宋_GB2312"/>
          <w:sz w:val="32"/>
          <w:szCs w:val="32"/>
        </w:rPr>
        <w:t>3.加强对外联谊工作，拓展对外交往渠道,促进与海外侨胞进行经济、科技、文化等方面的合作交流；</w:t>
      </w:r>
    </w:p>
    <w:p w14:paraId="6FD23F2A">
      <w:pPr>
        <w:adjustRightInd w:val="0"/>
        <w:snapToGrid w:val="0"/>
        <w:spacing w:line="460" w:lineRule="exact"/>
        <w:ind w:firstLine="640" w:firstLineChars="200"/>
        <w:rPr>
          <w:rFonts w:ascii="仿宋_GB2312" w:eastAsia="仿宋_GB2312"/>
          <w:sz w:val="32"/>
          <w:szCs w:val="32"/>
        </w:rPr>
      </w:pPr>
      <w:r>
        <w:rPr>
          <w:rFonts w:hint="eastAsia" w:ascii="仿宋_GB2312" w:eastAsia="仿宋_GB2312"/>
          <w:sz w:val="32"/>
          <w:szCs w:val="32"/>
        </w:rPr>
        <w:t>4.为归侨、侨眷兴办企事业和海外侨胞来巴中投资及合作交流服务；</w:t>
      </w:r>
    </w:p>
    <w:p w14:paraId="13142172">
      <w:pPr>
        <w:adjustRightInd w:val="0"/>
        <w:snapToGrid w:val="0"/>
        <w:spacing w:line="460" w:lineRule="exact"/>
        <w:ind w:firstLine="640" w:firstLineChars="200"/>
        <w:rPr>
          <w:rFonts w:ascii="仿宋_GB2312" w:eastAsia="仿宋_GB2312"/>
          <w:sz w:val="32"/>
          <w:szCs w:val="32"/>
        </w:rPr>
      </w:pPr>
      <w:r>
        <w:rPr>
          <w:rFonts w:hint="eastAsia" w:ascii="仿宋_GB2312" w:eastAsia="仿宋_GB2312"/>
          <w:sz w:val="32"/>
          <w:szCs w:val="32"/>
        </w:rPr>
        <w:t>5.参与协商、推荐人民代表大会和政治协商会议的归侨、侨眷代表、委员人选；</w:t>
      </w:r>
    </w:p>
    <w:p w14:paraId="56527D14">
      <w:pPr>
        <w:adjustRightInd w:val="0"/>
        <w:snapToGrid w:val="0"/>
        <w:spacing w:line="460" w:lineRule="exact"/>
        <w:ind w:firstLine="640" w:firstLineChars="200"/>
        <w:rPr>
          <w:rFonts w:ascii="仿宋_GB2312" w:eastAsia="仿宋_GB2312"/>
          <w:sz w:val="32"/>
          <w:szCs w:val="32"/>
        </w:rPr>
      </w:pPr>
      <w:r>
        <w:rPr>
          <w:rFonts w:hint="eastAsia" w:ascii="仿宋_GB2312" w:eastAsia="仿宋_GB2312"/>
          <w:sz w:val="32"/>
          <w:szCs w:val="32"/>
        </w:rPr>
        <w:t>6.依照《中华人民共和国归侨侨眷权益保护法》和有关法律，维护广大归侨</w:t>
      </w:r>
      <w:r>
        <w:rPr>
          <w:rFonts w:hint="eastAsia" w:ascii="仿宋_GB2312" w:eastAsia="仿宋_GB2312"/>
          <w:sz w:val="32"/>
          <w:szCs w:val="32"/>
          <w:lang w:eastAsia="zh-CN"/>
        </w:rPr>
        <w:t>、</w:t>
      </w:r>
      <w:r>
        <w:rPr>
          <w:rFonts w:hint="eastAsia" w:ascii="仿宋_GB2312" w:eastAsia="仿宋_GB2312"/>
          <w:sz w:val="32"/>
          <w:szCs w:val="32"/>
        </w:rPr>
        <w:t>侨眷的合法权益和海外侨胞的正当权益，为他们提供法律咨询和服务；</w:t>
      </w:r>
      <w:bookmarkStart w:id="84" w:name="_GoBack"/>
      <w:bookmarkEnd w:id="84"/>
    </w:p>
    <w:p w14:paraId="3A13677C">
      <w:pPr>
        <w:adjustRightInd w:val="0"/>
        <w:snapToGrid w:val="0"/>
        <w:spacing w:line="460" w:lineRule="exact"/>
        <w:ind w:firstLine="640" w:firstLineChars="200"/>
        <w:rPr>
          <w:rFonts w:ascii="仿宋_GB2312" w:eastAsia="仿宋_GB2312"/>
          <w:sz w:val="32"/>
          <w:szCs w:val="32"/>
        </w:rPr>
      </w:pPr>
      <w:r>
        <w:rPr>
          <w:rFonts w:hint="eastAsia" w:ascii="仿宋_GB2312" w:eastAsia="仿宋_GB2312"/>
          <w:sz w:val="32"/>
          <w:szCs w:val="32"/>
        </w:rPr>
        <w:t>7.加强侨联自身建设，参与归侨、侨眷干部的培养和推荐选拔工作；</w:t>
      </w:r>
    </w:p>
    <w:p w14:paraId="1C9C941F">
      <w:pPr>
        <w:adjustRightInd w:val="0"/>
        <w:snapToGrid w:val="0"/>
        <w:spacing w:line="460" w:lineRule="exact"/>
        <w:ind w:firstLine="640" w:firstLineChars="200"/>
        <w:rPr>
          <w:rFonts w:ascii="仿宋_GB2312" w:eastAsia="仿宋_GB2312"/>
          <w:sz w:val="32"/>
          <w:szCs w:val="32"/>
        </w:rPr>
      </w:pPr>
      <w:r>
        <w:rPr>
          <w:rFonts w:hint="eastAsia" w:ascii="仿宋_GB2312" w:eastAsia="仿宋_GB2312"/>
          <w:sz w:val="32"/>
          <w:szCs w:val="32"/>
        </w:rPr>
        <w:t>8.完成区委、区政府交办的其他工作。</w:t>
      </w:r>
    </w:p>
    <w:bookmarkEnd w:id="23"/>
    <w:bookmarkEnd w:id="24"/>
    <w:p w14:paraId="1F51D138">
      <w:pPr>
        <w:pStyle w:val="4"/>
        <w:adjustRightInd w:val="0"/>
        <w:snapToGrid w:val="0"/>
        <w:spacing w:before="0" w:after="0" w:line="460" w:lineRule="exact"/>
        <w:ind w:firstLine="640" w:firstLineChars="200"/>
        <w:rPr>
          <w:rStyle w:val="33"/>
          <w:b w:val="0"/>
          <w:bCs w:val="0"/>
        </w:rPr>
      </w:pPr>
      <w:bookmarkStart w:id="25" w:name="_Toc55836999"/>
      <w:bookmarkStart w:id="26" w:name="_Toc15396601"/>
      <w:bookmarkStart w:id="27" w:name="_Toc55892334"/>
      <w:bookmarkStart w:id="28" w:name="_Toc150268287"/>
      <w:bookmarkStart w:id="29" w:name="_Toc55892956"/>
      <w:bookmarkStart w:id="30" w:name="_Toc55893387"/>
      <w:bookmarkStart w:id="31" w:name="_Toc15377200"/>
      <w:bookmarkStart w:id="32" w:name="_Toc55893093"/>
      <w:bookmarkStart w:id="33" w:name="_Toc55893203"/>
      <w:bookmarkStart w:id="34" w:name="_Toc55892489"/>
      <w:r>
        <w:rPr>
          <w:rFonts w:hint="eastAsia" w:ascii="黑体" w:eastAsia="黑体"/>
          <w:b w:val="0"/>
          <w:color w:val="000000"/>
        </w:rPr>
        <w:t>二、</w:t>
      </w:r>
      <w:r>
        <w:rPr>
          <w:rFonts w:hint="eastAsia" w:ascii="黑体" w:hAnsi="黑体" w:eastAsia="黑体"/>
          <w:b w:val="0"/>
          <w:color w:val="000000"/>
        </w:rPr>
        <w:t>机</w:t>
      </w:r>
      <w:r>
        <w:rPr>
          <w:rStyle w:val="33"/>
          <w:rFonts w:hint="eastAsia" w:ascii="黑体" w:hAnsi="黑体" w:eastAsia="黑体"/>
          <w:b w:val="0"/>
          <w:bCs w:val="0"/>
        </w:rPr>
        <w:t>构设置</w:t>
      </w:r>
      <w:bookmarkEnd w:id="25"/>
      <w:bookmarkEnd w:id="26"/>
      <w:bookmarkEnd w:id="27"/>
      <w:bookmarkEnd w:id="28"/>
      <w:bookmarkEnd w:id="29"/>
      <w:bookmarkEnd w:id="30"/>
      <w:bookmarkEnd w:id="31"/>
      <w:bookmarkEnd w:id="32"/>
      <w:bookmarkEnd w:id="33"/>
      <w:bookmarkEnd w:id="34"/>
    </w:p>
    <w:p w14:paraId="3EBB6CEF">
      <w:pPr>
        <w:adjustRightInd w:val="0"/>
        <w:snapToGrid w:val="0"/>
        <w:spacing w:line="460" w:lineRule="exact"/>
        <w:ind w:firstLine="640" w:firstLineChars="200"/>
        <w:rPr>
          <w:rFonts w:ascii="仿宋_GB2312" w:eastAsia="仿宋_GB2312"/>
          <w:sz w:val="32"/>
          <w:szCs w:val="32"/>
        </w:rPr>
      </w:pPr>
      <w:r>
        <w:rPr>
          <w:rFonts w:hint="eastAsia" w:ascii="仿宋_GB2312" w:eastAsia="仿宋_GB2312"/>
          <w:sz w:val="32"/>
          <w:szCs w:val="32"/>
        </w:rPr>
        <w:t>区侨联为参照公务员法管理的事业单位。纳入2023年度部门决算编制范围的预算单位包括:巴中市巴州区侨联。</w:t>
      </w:r>
    </w:p>
    <w:p w14:paraId="237CE500"/>
    <w:bookmarkEnd w:id="21"/>
    <w:bookmarkEnd w:id="22"/>
    <w:p w14:paraId="1D57FFC9">
      <w:pPr>
        <w:widowControl/>
        <w:jc w:val="left"/>
        <w:rPr>
          <w:rFonts w:ascii="仿宋" w:hAnsi="仿宋" w:eastAsia="仿宋"/>
          <w:kern w:val="0"/>
          <w:sz w:val="32"/>
          <w:szCs w:val="32"/>
        </w:rPr>
      </w:pPr>
      <w:r>
        <w:rPr>
          <w:rFonts w:ascii="仿宋" w:hAnsi="仿宋" w:eastAsia="仿宋"/>
          <w:sz w:val="32"/>
          <w:szCs w:val="32"/>
        </w:rPr>
        <w:br w:type="page"/>
      </w:r>
    </w:p>
    <w:p w14:paraId="18402DF2">
      <w:pPr>
        <w:pStyle w:val="3"/>
        <w:ind w:right="440"/>
        <w:jc w:val="center"/>
      </w:pPr>
      <w:bookmarkStart w:id="35" w:name="_Toc15396602"/>
      <w:bookmarkStart w:id="36"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35"/>
      <w:bookmarkEnd w:id="36"/>
    </w:p>
    <w:p w14:paraId="0DD999C2">
      <w:pPr>
        <w:pStyle w:val="26"/>
        <w:numPr>
          <w:ilvl w:val="0"/>
          <w:numId w:val="2"/>
        </w:numPr>
        <w:spacing w:line="600" w:lineRule="exact"/>
        <w:ind w:firstLineChars="0"/>
        <w:outlineLvl w:val="1"/>
        <w:rPr>
          <w:rStyle w:val="28"/>
          <w:rFonts w:ascii="黑体" w:hAnsi="黑体" w:eastAsia="黑体"/>
          <w:b w:val="0"/>
        </w:rPr>
      </w:pPr>
      <w:bookmarkStart w:id="37" w:name="_Toc15377205"/>
      <w:bookmarkStart w:id="38"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37"/>
      <w:bookmarkEnd w:id="38"/>
    </w:p>
    <w:p w14:paraId="30D216D0">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50.47</w:t>
      </w:r>
      <w:r>
        <w:rPr>
          <w:rFonts w:hint="eastAsia" w:ascii="仿宋" w:hAnsi="仿宋" w:eastAsia="仿宋"/>
          <w:sz w:val="32"/>
          <w:szCs w:val="32"/>
        </w:rPr>
        <w:t>万元。与2022年度42.78万元相比，收、支总计各增加7.69万元，增长17.98</w:t>
      </w:r>
      <w:r>
        <w:rPr>
          <w:rFonts w:ascii="仿宋" w:hAnsi="仿宋" w:eastAsia="仿宋"/>
          <w:sz w:val="32"/>
          <w:szCs w:val="32"/>
        </w:rPr>
        <w:t>%</w:t>
      </w:r>
      <w:r>
        <w:rPr>
          <w:rFonts w:hint="eastAsia" w:ascii="仿宋" w:hAnsi="仿宋" w:eastAsia="仿宋"/>
          <w:sz w:val="32"/>
          <w:szCs w:val="32"/>
        </w:rPr>
        <w:t>。主要变动原因是单位人员增加，人员支出和项目支出增加，导致单位收入、支出总计增加。</w:t>
      </w:r>
    </w:p>
    <w:p w14:paraId="7C69B38F">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7762755">
      <w:pPr>
        <w:ind w:firstLine="5920" w:firstLineChars="1850"/>
        <w:rPr>
          <w:rFonts w:ascii="仿宋" w:hAnsi="仿宋" w:eastAsia="仿宋"/>
          <w:color w:val="000000"/>
          <w:sz w:val="32"/>
          <w:szCs w:val="32"/>
        </w:rPr>
      </w:pPr>
      <w:r>
        <w:rPr>
          <w:rFonts w:hint="eastAsia" w:ascii="仿宋" w:hAnsi="仿宋" w:eastAsia="仿宋"/>
          <w:color w:val="000000"/>
          <w:sz w:val="32"/>
          <w:szCs w:val="32"/>
        </w:rPr>
        <w:t>单位：万元</w:t>
      </w:r>
    </w:p>
    <w:p w14:paraId="174EDC6F">
      <w:pPr>
        <w:pStyle w:val="2"/>
      </w:pPr>
      <w:r>
        <w:rPr>
          <w:rFonts w:ascii="仿宋_GB2312" w:eastAsia="仿宋_GB2312"/>
          <w:color w:val="000000"/>
          <w:sz w:val="32"/>
          <w:szCs w:val="32"/>
        </w:rPr>
        <w:drawing>
          <wp:anchor distT="0" distB="0" distL="0" distR="0" simplePos="0" relativeHeight="251659264" behindDoc="0" locked="0" layoutInCell="1" allowOverlap="1">
            <wp:simplePos x="0" y="0"/>
            <wp:positionH relativeFrom="column">
              <wp:posOffset>184150</wp:posOffset>
            </wp:positionH>
            <wp:positionV relativeFrom="paragraph">
              <wp:posOffset>233045</wp:posOffset>
            </wp:positionV>
            <wp:extent cx="4907915" cy="3493770"/>
            <wp:effectExtent l="4445" t="4445" r="21590" b="6985"/>
            <wp:wrapNone/>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1E69E98">
      <w:pPr>
        <w:spacing w:line="600" w:lineRule="exact"/>
        <w:ind w:firstLine="640" w:firstLineChars="200"/>
        <w:jc w:val="left"/>
        <w:rPr>
          <w:rFonts w:ascii="仿宋_GB2312" w:eastAsia="仿宋_GB2312"/>
          <w:color w:val="000000"/>
          <w:sz w:val="32"/>
          <w:szCs w:val="32"/>
        </w:rPr>
      </w:pPr>
    </w:p>
    <w:p w14:paraId="4FA58D73">
      <w:pPr>
        <w:spacing w:line="600" w:lineRule="exact"/>
        <w:ind w:firstLine="640" w:firstLineChars="200"/>
        <w:jc w:val="left"/>
        <w:rPr>
          <w:rFonts w:ascii="仿宋_GB2312" w:eastAsia="仿宋_GB2312"/>
          <w:color w:val="000000"/>
          <w:sz w:val="32"/>
          <w:szCs w:val="32"/>
        </w:rPr>
      </w:pPr>
    </w:p>
    <w:p w14:paraId="1C1C61B7">
      <w:pPr>
        <w:pStyle w:val="2"/>
        <w:rPr>
          <w:rFonts w:ascii="仿宋_GB2312" w:eastAsia="仿宋_GB2312"/>
          <w:color w:val="000000"/>
          <w:sz w:val="32"/>
          <w:szCs w:val="32"/>
        </w:rPr>
      </w:pPr>
    </w:p>
    <w:p w14:paraId="44A26781">
      <w:pPr>
        <w:rPr>
          <w:rFonts w:ascii="仿宋_GB2312" w:eastAsia="仿宋_GB2312"/>
          <w:color w:val="000000"/>
          <w:sz w:val="32"/>
          <w:szCs w:val="32"/>
        </w:rPr>
      </w:pPr>
    </w:p>
    <w:p w14:paraId="13F8B7B4">
      <w:pPr>
        <w:pStyle w:val="2"/>
      </w:pPr>
    </w:p>
    <w:p w14:paraId="3B5D9E50">
      <w:pPr>
        <w:pStyle w:val="2"/>
        <w:jc w:val="both"/>
        <w:rPr>
          <w:rFonts w:ascii="仿宋_GB2312" w:eastAsia="仿宋_GB2312"/>
          <w:color w:val="000000"/>
          <w:sz w:val="32"/>
          <w:szCs w:val="32"/>
        </w:rPr>
      </w:pPr>
    </w:p>
    <w:p w14:paraId="2F6CE4F2">
      <w:pPr>
        <w:pStyle w:val="2"/>
      </w:pPr>
    </w:p>
    <w:p w14:paraId="6E8B47BB">
      <w:pPr>
        <w:pStyle w:val="26"/>
        <w:numPr>
          <w:ilvl w:val="0"/>
          <w:numId w:val="2"/>
        </w:numPr>
        <w:spacing w:line="600" w:lineRule="exact"/>
        <w:ind w:firstLineChars="0"/>
        <w:outlineLvl w:val="1"/>
        <w:rPr>
          <w:rStyle w:val="28"/>
          <w:rFonts w:ascii="黑体" w:hAnsi="黑体" w:eastAsia="黑体"/>
          <w:b w:val="0"/>
        </w:rPr>
      </w:pPr>
      <w:bookmarkStart w:id="39" w:name="_Toc15396604"/>
      <w:bookmarkStart w:id="40" w:name="_Toc15377206"/>
      <w:r>
        <w:rPr>
          <w:rFonts w:hint="eastAsia" w:ascii="黑体" w:hAnsi="黑体" w:eastAsia="黑体"/>
          <w:sz w:val="32"/>
          <w:szCs w:val="32"/>
        </w:rPr>
        <w:t>收</w:t>
      </w:r>
      <w:r>
        <w:rPr>
          <w:rStyle w:val="28"/>
          <w:rFonts w:hint="eastAsia" w:ascii="黑体" w:hAnsi="黑体" w:eastAsia="黑体"/>
          <w:b w:val="0"/>
        </w:rPr>
        <w:t>入决算情况说明</w:t>
      </w:r>
      <w:bookmarkEnd w:id="39"/>
      <w:bookmarkEnd w:id="40"/>
    </w:p>
    <w:p w14:paraId="2E4AB151">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50.47</w:t>
      </w:r>
      <w:r>
        <w:rPr>
          <w:rFonts w:hint="eastAsia" w:ascii="仿宋" w:hAnsi="仿宋" w:eastAsia="仿宋"/>
          <w:sz w:val="32"/>
          <w:szCs w:val="32"/>
        </w:rPr>
        <w:t>万元，其中：一般公共预算财政拨款收入</w:t>
      </w:r>
      <w:r>
        <w:rPr>
          <w:rFonts w:ascii="仿宋" w:hAnsi="仿宋" w:eastAsia="仿宋"/>
          <w:b/>
          <w:sz w:val="32"/>
          <w:szCs w:val="32"/>
        </w:rPr>
        <w:t>50.47</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6757C69A">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（图2：收入决算结构图）（饼状图）</w:t>
      </w:r>
    </w:p>
    <w:p w14:paraId="700BC5E2">
      <w:pPr>
        <w:ind w:firstLine="5920" w:firstLineChars="1850"/>
      </w:pPr>
      <w:r>
        <w:rPr>
          <w:rFonts w:hint="eastAsia" w:ascii="仿宋" w:hAnsi="仿宋" w:eastAsia="仿宋"/>
          <w:color w:val="000000"/>
          <w:sz w:val="32"/>
          <w:szCs w:val="32"/>
        </w:rPr>
        <w:t>单位：万元</w:t>
      </w:r>
    </w:p>
    <w:p w14:paraId="1CD1E675">
      <w:pPr>
        <w:pStyle w:val="2"/>
      </w:pPr>
      <w:r>
        <w:rPr>
          <w:rFonts w:ascii="仿宋_GB2312" w:eastAsia="仿宋_GB2312"/>
          <w:color w:val="FF0000"/>
          <w:sz w:val="32"/>
          <w:szCs w:val="32"/>
        </w:rPr>
        <w:drawing>
          <wp:anchor distT="0" distB="0" distL="0" distR="0" simplePos="0" relativeHeight="251660288" behindDoc="0" locked="0" layoutInCell="1" allowOverlap="1">
            <wp:simplePos x="0" y="0"/>
            <wp:positionH relativeFrom="column">
              <wp:posOffset>64770</wp:posOffset>
            </wp:positionH>
            <wp:positionV relativeFrom="paragraph">
              <wp:posOffset>240030</wp:posOffset>
            </wp:positionV>
            <wp:extent cx="4973955" cy="3666490"/>
            <wp:effectExtent l="5080" t="4445" r="12065" b="5715"/>
            <wp:wrapNone/>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C76EB14">
      <w:pPr>
        <w:spacing w:line="600" w:lineRule="exact"/>
        <w:ind w:firstLine="640" w:firstLineChars="200"/>
        <w:rPr>
          <w:rFonts w:ascii="仿宋_GB2312" w:eastAsia="仿宋_GB2312"/>
          <w:sz w:val="32"/>
          <w:szCs w:val="32"/>
        </w:rPr>
      </w:pPr>
    </w:p>
    <w:p w14:paraId="714CE513">
      <w:pPr>
        <w:pStyle w:val="2"/>
        <w:rPr>
          <w:rFonts w:ascii="仿宋_GB2312" w:eastAsia="仿宋_GB2312"/>
          <w:sz w:val="32"/>
          <w:szCs w:val="32"/>
        </w:rPr>
      </w:pPr>
    </w:p>
    <w:p w14:paraId="62058678"/>
    <w:p w14:paraId="174BF9BF">
      <w:pPr>
        <w:pStyle w:val="2"/>
      </w:pPr>
    </w:p>
    <w:p w14:paraId="0E876303"/>
    <w:p w14:paraId="00152C91">
      <w:pPr>
        <w:pStyle w:val="2"/>
      </w:pPr>
    </w:p>
    <w:p w14:paraId="23FEF26E"/>
    <w:p w14:paraId="1BAE4D16">
      <w:pPr>
        <w:pStyle w:val="2"/>
      </w:pPr>
    </w:p>
    <w:p w14:paraId="274C52E9"/>
    <w:p w14:paraId="1A8C9577">
      <w:pPr>
        <w:pStyle w:val="26"/>
        <w:numPr>
          <w:ilvl w:val="0"/>
          <w:numId w:val="2"/>
        </w:numPr>
        <w:spacing w:line="600" w:lineRule="exact"/>
        <w:ind w:firstLineChars="0"/>
        <w:outlineLvl w:val="1"/>
        <w:rPr>
          <w:rStyle w:val="28"/>
          <w:rFonts w:ascii="黑体" w:hAnsi="黑体" w:eastAsia="黑体"/>
          <w:b w:val="0"/>
        </w:rPr>
      </w:pPr>
      <w:bookmarkStart w:id="41" w:name="_Toc15377207"/>
      <w:bookmarkStart w:id="42" w:name="_Toc15396605"/>
      <w:r>
        <w:rPr>
          <w:rFonts w:hint="eastAsia" w:ascii="黑体" w:hAnsi="黑体" w:eastAsia="黑体"/>
          <w:sz w:val="32"/>
          <w:szCs w:val="32"/>
        </w:rPr>
        <w:t>支</w:t>
      </w:r>
      <w:r>
        <w:rPr>
          <w:rStyle w:val="28"/>
          <w:rFonts w:hint="eastAsia" w:ascii="黑体" w:hAnsi="黑体" w:eastAsia="黑体"/>
          <w:b w:val="0"/>
        </w:rPr>
        <w:t>出决算情况说明</w:t>
      </w:r>
      <w:bookmarkEnd w:id="41"/>
      <w:bookmarkEnd w:id="42"/>
    </w:p>
    <w:p w14:paraId="6C9B19E2">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ascii="仿宋" w:hAnsi="仿宋" w:eastAsia="仿宋"/>
          <w:b/>
          <w:sz w:val="32"/>
          <w:szCs w:val="32"/>
        </w:rPr>
        <w:t>50.47</w:t>
      </w:r>
      <w:r>
        <w:rPr>
          <w:rFonts w:hint="eastAsia" w:ascii="仿宋" w:hAnsi="仿宋" w:eastAsia="仿宋"/>
          <w:sz w:val="32"/>
          <w:szCs w:val="32"/>
        </w:rPr>
        <w:t>万元，其中：基本支出</w:t>
      </w:r>
      <w:r>
        <w:rPr>
          <w:rFonts w:ascii="仿宋" w:hAnsi="仿宋" w:eastAsia="仿宋"/>
          <w:b/>
          <w:sz w:val="32"/>
          <w:szCs w:val="32"/>
        </w:rPr>
        <w:t>38.8</w:t>
      </w:r>
      <w:r>
        <w:rPr>
          <w:rFonts w:hint="eastAsia" w:ascii="仿宋" w:hAnsi="仿宋" w:eastAsia="仿宋"/>
          <w:sz w:val="32"/>
          <w:szCs w:val="32"/>
        </w:rPr>
        <w:t>万元，占</w:t>
      </w:r>
      <w:r>
        <w:rPr>
          <w:rFonts w:ascii="仿宋" w:hAnsi="仿宋" w:eastAsia="仿宋"/>
          <w:b/>
          <w:sz w:val="32"/>
          <w:szCs w:val="32"/>
        </w:rPr>
        <w:t>76.88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11.67</w:t>
      </w:r>
      <w:r>
        <w:rPr>
          <w:rFonts w:hint="eastAsia" w:ascii="仿宋" w:hAnsi="仿宋" w:eastAsia="仿宋"/>
          <w:sz w:val="32"/>
          <w:szCs w:val="32"/>
        </w:rPr>
        <w:t>万元，占</w:t>
      </w:r>
      <w:r>
        <w:rPr>
          <w:rFonts w:ascii="仿宋" w:hAnsi="仿宋" w:eastAsia="仿宋"/>
          <w:b/>
          <w:sz w:val="32"/>
          <w:szCs w:val="32"/>
        </w:rPr>
        <w:t>23.11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23AF5837">
      <w:pPr>
        <w:spacing w:line="600" w:lineRule="exact"/>
        <w:ind w:firstLine="640" w:firstLineChars="200"/>
        <w:jc w:val="center"/>
        <w:rPr>
          <w:rFonts w:ascii="仿宋" w:hAnsi="仿宋" w:eastAsia="仿宋"/>
          <w:sz w:val="32"/>
          <w:szCs w:val="32"/>
        </w:rPr>
      </w:pPr>
    </w:p>
    <w:p w14:paraId="6038A708">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（图3：支出决算结构图）（饼状图）</w:t>
      </w:r>
    </w:p>
    <w:p w14:paraId="20883175">
      <w:pPr>
        <w:ind w:firstLine="5920" w:firstLineChars="1850"/>
        <w:rPr>
          <w:rFonts w:ascii="仿宋" w:hAnsi="仿宋" w:eastAsia="仿宋"/>
          <w:color w:val="000000"/>
          <w:sz w:val="32"/>
          <w:szCs w:val="32"/>
        </w:rPr>
      </w:pPr>
      <w:r>
        <w:rPr>
          <w:rFonts w:hint="eastAsia" w:ascii="仿宋" w:hAnsi="仿宋" w:eastAsia="仿宋"/>
          <w:color w:val="000000"/>
          <w:sz w:val="32"/>
          <w:szCs w:val="32"/>
        </w:rPr>
        <w:t>单位：万元</w:t>
      </w:r>
    </w:p>
    <w:p w14:paraId="39B97977">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0" distR="0" simplePos="0" relativeHeight="251661312" behindDoc="0" locked="0" layoutInCell="1" allowOverlap="1">
            <wp:simplePos x="0" y="0"/>
            <wp:positionH relativeFrom="column">
              <wp:posOffset>398780</wp:posOffset>
            </wp:positionH>
            <wp:positionV relativeFrom="paragraph">
              <wp:posOffset>240665</wp:posOffset>
            </wp:positionV>
            <wp:extent cx="4312285" cy="2842895"/>
            <wp:effectExtent l="4445" t="5080" r="7620" b="9525"/>
            <wp:wrapNone/>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43" w:name="_Toc15396606"/>
      <w:bookmarkStart w:id="44" w:name="_Toc15377208"/>
    </w:p>
    <w:p w14:paraId="615B596C">
      <w:pPr>
        <w:spacing w:line="600" w:lineRule="exact"/>
        <w:ind w:firstLine="640" w:firstLineChars="200"/>
        <w:rPr>
          <w:rFonts w:ascii="仿宋_GB2312" w:eastAsia="仿宋_GB2312"/>
          <w:color w:val="FF0000"/>
          <w:sz w:val="32"/>
          <w:szCs w:val="32"/>
        </w:rPr>
      </w:pPr>
    </w:p>
    <w:p w14:paraId="26C55223">
      <w:pPr>
        <w:spacing w:line="600" w:lineRule="exact"/>
        <w:ind w:firstLine="640" w:firstLineChars="200"/>
        <w:rPr>
          <w:rFonts w:ascii="仿宋_GB2312" w:eastAsia="仿宋_GB2312"/>
          <w:color w:val="FF0000"/>
          <w:sz w:val="32"/>
          <w:szCs w:val="32"/>
        </w:rPr>
      </w:pPr>
    </w:p>
    <w:p w14:paraId="1B44875C">
      <w:pPr>
        <w:spacing w:line="600" w:lineRule="exact"/>
        <w:ind w:firstLine="640" w:firstLineChars="200"/>
        <w:rPr>
          <w:rFonts w:ascii="仿宋_GB2312" w:eastAsia="仿宋_GB2312"/>
          <w:color w:val="FF0000"/>
          <w:sz w:val="32"/>
          <w:szCs w:val="32"/>
        </w:rPr>
      </w:pPr>
    </w:p>
    <w:bookmarkEnd w:id="43"/>
    <w:bookmarkEnd w:id="44"/>
    <w:p w14:paraId="56E75ADD">
      <w:pPr>
        <w:pStyle w:val="2"/>
        <w:rPr>
          <w:rFonts w:ascii="仿宋" w:hAnsi="仿宋" w:eastAsia="仿宋"/>
          <w:sz w:val="32"/>
          <w:szCs w:val="32"/>
        </w:rPr>
      </w:pPr>
    </w:p>
    <w:p w14:paraId="3CAF19D1">
      <w:pPr>
        <w:rPr>
          <w:rFonts w:ascii="仿宋" w:hAnsi="仿宋" w:eastAsia="仿宋"/>
          <w:b/>
          <w:sz w:val="32"/>
          <w:szCs w:val="32"/>
        </w:rPr>
      </w:pPr>
    </w:p>
    <w:p w14:paraId="5AE0F21C">
      <w:pPr>
        <w:pStyle w:val="2"/>
      </w:pPr>
    </w:p>
    <w:p w14:paraId="6699BDD8">
      <w:pPr>
        <w:numPr>
          <w:ilvl w:val="0"/>
          <w:numId w:val="2"/>
        </w:numPr>
        <w:spacing w:line="600" w:lineRule="exact"/>
        <w:outlineLvl w:val="1"/>
        <w:rPr>
          <w:rStyle w:val="28"/>
          <w:rFonts w:ascii="黑体" w:hAnsi="黑体" w:eastAsia="黑体"/>
          <w:b w:val="0"/>
        </w:rPr>
      </w:pPr>
      <w:r>
        <w:rPr>
          <w:rFonts w:hint="eastAsia" w:ascii="黑体" w:hAnsi="黑体" w:eastAsia="黑体"/>
          <w:sz w:val="32"/>
          <w:szCs w:val="32"/>
        </w:rPr>
        <w:t>财</w:t>
      </w:r>
      <w:r>
        <w:rPr>
          <w:rStyle w:val="28"/>
          <w:rFonts w:hint="eastAsia" w:ascii="黑体" w:hAnsi="黑体" w:eastAsia="黑体"/>
          <w:b w:val="0"/>
        </w:rPr>
        <w:t>政拨款收入支出决算总体情况说明</w:t>
      </w:r>
    </w:p>
    <w:p w14:paraId="45178284">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50.47</w:t>
      </w:r>
      <w:r>
        <w:rPr>
          <w:rFonts w:hint="eastAsia" w:ascii="仿宋" w:hAnsi="仿宋" w:eastAsia="仿宋"/>
          <w:sz w:val="32"/>
          <w:szCs w:val="32"/>
        </w:rPr>
        <w:t>万元。与2022年度42.78万元相比，财政拨款收、支总计各增加7.69万元，增长17.98</w:t>
      </w:r>
      <w:r>
        <w:rPr>
          <w:rFonts w:ascii="仿宋" w:hAnsi="仿宋" w:eastAsia="仿宋"/>
          <w:sz w:val="32"/>
          <w:szCs w:val="32"/>
        </w:rPr>
        <w:t>%</w:t>
      </w:r>
      <w:r>
        <w:rPr>
          <w:rFonts w:hint="eastAsia" w:ascii="仿宋" w:hAnsi="仿宋" w:eastAsia="仿宋"/>
          <w:sz w:val="32"/>
          <w:szCs w:val="32"/>
        </w:rPr>
        <w:t>。主要变动原因是单位人员增加，人员支出增加导致单位财政拨款收入、支出增加。</w:t>
      </w:r>
    </w:p>
    <w:p w14:paraId="7477D52E">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（图4：财政拨款收、支决算总计变动情况）（柱状图）</w:t>
      </w:r>
    </w:p>
    <w:p w14:paraId="6E748396">
      <w:pPr>
        <w:ind w:firstLine="5920" w:firstLineChars="1850"/>
        <w:rPr>
          <w:rFonts w:ascii="仿宋" w:hAnsi="仿宋" w:eastAsia="仿宋"/>
          <w:color w:val="000000"/>
          <w:sz w:val="32"/>
          <w:szCs w:val="32"/>
        </w:rPr>
      </w:pPr>
      <w:r>
        <w:rPr>
          <w:rFonts w:hint="eastAsia" w:ascii="仿宋" w:hAnsi="仿宋" w:eastAsia="仿宋"/>
          <w:color w:val="000000"/>
          <w:sz w:val="32"/>
          <w:szCs w:val="32"/>
        </w:rPr>
        <w:t>单位：万元</w:t>
      </w:r>
    </w:p>
    <w:p w14:paraId="2091B127">
      <w:pPr>
        <w:pStyle w:val="2"/>
      </w:pPr>
      <w:r>
        <w:rPr>
          <w:rFonts w:hint="eastAsia" w:ascii="仿宋" w:hAnsi="仿宋" w:eastAsia="仿宋"/>
          <w:color w:val="00B050"/>
          <w:sz w:val="32"/>
          <w:szCs w:val="32"/>
        </w:rPr>
        <w:drawing>
          <wp:anchor distT="0" distB="0" distL="0" distR="0" simplePos="0" relativeHeight="251662336" behindDoc="0" locked="0" layoutInCell="1" allowOverlap="1">
            <wp:simplePos x="0" y="0"/>
            <wp:positionH relativeFrom="column">
              <wp:posOffset>528955</wp:posOffset>
            </wp:positionH>
            <wp:positionV relativeFrom="paragraph">
              <wp:posOffset>134620</wp:posOffset>
            </wp:positionV>
            <wp:extent cx="4302760" cy="2057400"/>
            <wp:effectExtent l="4445" t="5080" r="17145" b="13970"/>
            <wp:wrapNone/>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01AD1FA">
      <w:pPr>
        <w:spacing w:line="600" w:lineRule="exact"/>
        <w:ind w:firstLine="640"/>
        <w:rPr>
          <w:rFonts w:ascii="仿宋" w:hAnsi="仿宋" w:eastAsia="仿宋"/>
          <w:b/>
          <w:sz w:val="32"/>
          <w:szCs w:val="32"/>
        </w:rPr>
      </w:pPr>
    </w:p>
    <w:p w14:paraId="1E18927E">
      <w:pPr>
        <w:pStyle w:val="2"/>
      </w:pPr>
    </w:p>
    <w:p w14:paraId="507989CF"/>
    <w:p w14:paraId="28EEA637"/>
    <w:p w14:paraId="7EDCF03D"/>
    <w:p w14:paraId="4E2A7FCB">
      <w:pPr>
        <w:numPr>
          <w:ilvl w:val="0"/>
          <w:numId w:val="2"/>
        </w:numPr>
        <w:spacing w:line="600" w:lineRule="exact"/>
        <w:outlineLvl w:val="1"/>
        <w:rPr>
          <w:rStyle w:val="28"/>
          <w:rFonts w:ascii="黑体" w:hAnsi="黑体" w:eastAsia="黑体"/>
          <w:b w:val="0"/>
        </w:rPr>
      </w:pPr>
      <w:r>
        <w:rPr>
          <w:rFonts w:hint="eastAsia" w:ascii="黑体" w:hAnsi="黑体" w:eastAsia="黑体"/>
          <w:b/>
          <w:sz w:val="32"/>
          <w:szCs w:val="32"/>
        </w:rPr>
        <w:t>一</w:t>
      </w:r>
      <w:r>
        <w:rPr>
          <w:rStyle w:val="28"/>
          <w:rFonts w:hint="eastAsia" w:ascii="黑体" w:hAnsi="黑体" w:eastAsia="黑体"/>
          <w:b w:val="0"/>
        </w:rPr>
        <w:t>般公共预算财政拨款支出决算情况说明</w:t>
      </w:r>
    </w:p>
    <w:p w14:paraId="38E3D4B1">
      <w:pPr>
        <w:pStyle w:val="2"/>
      </w:pPr>
    </w:p>
    <w:p w14:paraId="7ECA3102">
      <w:pPr>
        <w:spacing w:line="600" w:lineRule="exact"/>
        <w:ind w:firstLine="643" w:firstLineChars="200"/>
        <w:outlineLvl w:val="2"/>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14:paraId="48943CCC">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50.47</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。与2022年度42.78万元相比，一般公共预算财政拨款支出增加7.69万元，增长17.98</w:t>
      </w:r>
      <w:r>
        <w:rPr>
          <w:rFonts w:ascii="仿宋" w:hAnsi="仿宋" w:eastAsia="仿宋"/>
          <w:sz w:val="32"/>
          <w:szCs w:val="32"/>
        </w:rPr>
        <w:t>%</w:t>
      </w:r>
      <w:r>
        <w:rPr>
          <w:rFonts w:hint="eastAsia" w:ascii="仿宋" w:hAnsi="仿宋" w:eastAsia="仿宋"/>
          <w:sz w:val="32"/>
          <w:szCs w:val="32"/>
        </w:rPr>
        <w:t>。主要变动原因是是单位人员增加，导致单位一般公共预算财政拨款支出增加。</w:t>
      </w:r>
    </w:p>
    <w:p w14:paraId="1EA41AC9">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01E409CF">
      <w:pPr>
        <w:ind w:firstLine="5920" w:firstLineChars="1850"/>
        <w:rPr>
          <w:rFonts w:ascii="仿宋" w:hAnsi="仿宋" w:eastAsia="仿宋"/>
          <w:color w:val="000000"/>
          <w:sz w:val="32"/>
          <w:szCs w:val="32"/>
        </w:rPr>
      </w:pPr>
      <w:r>
        <w:rPr>
          <w:rFonts w:hint="eastAsia" w:ascii="仿宋" w:hAnsi="仿宋" w:eastAsia="仿宋"/>
          <w:color w:val="000000"/>
          <w:sz w:val="32"/>
          <w:szCs w:val="32"/>
        </w:rPr>
        <w:t>单位：万元</w:t>
      </w:r>
    </w:p>
    <w:p w14:paraId="4D8C0ACC">
      <w:pPr>
        <w:spacing w:line="60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0" distR="0" simplePos="0" relativeHeight="251663360" behindDoc="0" locked="0" layoutInCell="1" allowOverlap="1">
            <wp:simplePos x="0" y="0"/>
            <wp:positionH relativeFrom="column">
              <wp:posOffset>315595</wp:posOffset>
            </wp:positionH>
            <wp:positionV relativeFrom="paragraph">
              <wp:posOffset>276225</wp:posOffset>
            </wp:positionV>
            <wp:extent cx="4645025" cy="3103880"/>
            <wp:effectExtent l="4445" t="4445" r="17780" b="15875"/>
            <wp:wrapNone/>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D2D16F2">
      <w:pPr>
        <w:pStyle w:val="2"/>
        <w:rPr>
          <w:rFonts w:ascii="仿宋" w:hAnsi="仿宋" w:eastAsia="仿宋"/>
          <w:sz w:val="32"/>
          <w:szCs w:val="32"/>
        </w:rPr>
      </w:pPr>
    </w:p>
    <w:p w14:paraId="5067D469">
      <w:pPr>
        <w:pStyle w:val="2"/>
      </w:pPr>
    </w:p>
    <w:p w14:paraId="51405560">
      <w:pPr>
        <w:pStyle w:val="2"/>
        <w:rPr>
          <w:rFonts w:ascii="仿宋" w:hAnsi="仿宋" w:eastAsia="仿宋"/>
          <w:sz w:val="32"/>
          <w:szCs w:val="32"/>
        </w:rPr>
      </w:pPr>
    </w:p>
    <w:p w14:paraId="4D0EC7DA"/>
    <w:p w14:paraId="7145052B">
      <w:pPr>
        <w:pStyle w:val="2"/>
      </w:pPr>
    </w:p>
    <w:p w14:paraId="6D52EE56"/>
    <w:p w14:paraId="3E458C3F">
      <w:pPr>
        <w:pStyle w:val="2"/>
      </w:pPr>
    </w:p>
    <w:p w14:paraId="564C0D95">
      <w:pPr>
        <w:spacing w:line="600" w:lineRule="exact"/>
        <w:ind w:firstLine="643" w:firstLineChars="200"/>
        <w:outlineLvl w:val="2"/>
        <w:rPr>
          <w:rFonts w:ascii="仿宋" w:hAnsi="仿宋" w:eastAsia="仿宋"/>
          <w:b/>
          <w:sz w:val="32"/>
          <w:szCs w:val="32"/>
        </w:rPr>
      </w:pPr>
      <w:bookmarkStart w:id="46" w:name="_Toc15377211"/>
      <w:r>
        <w:rPr>
          <w:rFonts w:hint="eastAsia" w:ascii="仿宋" w:hAnsi="仿宋" w:eastAsia="仿宋"/>
          <w:b/>
          <w:sz w:val="32"/>
          <w:szCs w:val="32"/>
        </w:rPr>
        <w:t>（二）一般公共预算财政拨款支出决算结构情况</w:t>
      </w:r>
      <w:bookmarkEnd w:id="46"/>
    </w:p>
    <w:p w14:paraId="4AE9319C">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50.47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42.44万元，占84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3.41万元，占7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1.79万元，占4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2.82万元，占6</w:t>
      </w:r>
      <w:r>
        <w:rPr>
          <w:rFonts w:ascii="仿宋" w:hAnsi="仿宋" w:eastAsia="仿宋"/>
          <w:sz w:val="32"/>
          <w:szCs w:val="32"/>
        </w:rPr>
        <w:t>%</w:t>
      </w:r>
      <w:r>
        <w:rPr>
          <w:rFonts w:hint="eastAsia" w:ascii="仿宋" w:hAnsi="仿宋" w:eastAsia="仿宋"/>
          <w:sz w:val="32"/>
          <w:szCs w:val="32"/>
        </w:rPr>
        <w:t>。</w:t>
      </w:r>
    </w:p>
    <w:p w14:paraId="398AFAA0">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（图6：一般公共预算财政拨款支出决算结构）（饼状图）</w:t>
      </w:r>
    </w:p>
    <w:p w14:paraId="723D34C9">
      <w:pPr>
        <w:ind w:firstLine="5920" w:firstLineChars="1850"/>
        <w:rPr>
          <w:rFonts w:ascii="仿宋" w:hAnsi="仿宋" w:eastAsia="仿宋"/>
          <w:color w:val="000000"/>
          <w:sz w:val="32"/>
          <w:szCs w:val="32"/>
        </w:rPr>
      </w:pPr>
      <w:r>
        <w:rPr>
          <w:rFonts w:hint="eastAsia" w:ascii="仿宋" w:hAnsi="仿宋" w:eastAsia="仿宋"/>
          <w:color w:val="000000"/>
          <w:sz w:val="32"/>
          <w:szCs w:val="32"/>
        </w:rPr>
        <w:t>单位：万元</w:t>
      </w:r>
    </w:p>
    <w:p w14:paraId="16498437">
      <w:pPr>
        <w:pStyle w:val="2"/>
      </w:pPr>
      <w:r>
        <w:rPr>
          <w:rFonts w:hint="eastAsia" w:ascii="仿宋" w:hAnsi="仿宋" w:eastAsia="仿宋"/>
          <w:color w:val="000000"/>
          <w:sz w:val="32"/>
          <w:szCs w:val="32"/>
        </w:rPr>
        <w:drawing>
          <wp:anchor distT="0" distB="0" distL="0" distR="0" simplePos="0" relativeHeight="251664384" behindDoc="0" locked="0" layoutInCell="1" allowOverlap="1">
            <wp:simplePos x="0" y="0"/>
            <wp:positionH relativeFrom="column">
              <wp:posOffset>268605</wp:posOffset>
            </wp:positionH>
            <wp:positionV relativeFrom="paragraph">
              <wp:posOffset>394970</wp:posOffset>
            </wp:positionV>
            <wp:extent cx="4576445" cy="3076575"/>
            <wp:effectExtent l="5080" t="5080" r="9525" b="4445"/>
            <wp:wrapNone/>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7366EB0">
      <w:pPr>
        <w:spacing w:line="600" w:lineRule="exact"/>
        <w:ind w:firstLine="640" w:firstLineChars="200"/>
        <w:rPr>
          <w:rFonts w:ascii="仿宋" w:hAnsi="仿宋" w:eastAsia="仿宋"/>
          <w:sz w:val="32"/>
          <w:szCs w:val="32"/>
        </w:rPr>
      </w:pPr>
    </w:p>
    <w:p w14:paraId="7C090F74">
      <w:pPr>
        <w:pStyle w:val="2"/>
        <w:rPr>
          <w:rFonts w:ascii="仿宋" w:hAnsi="仿宋" w:eastAsia="仿宋"/>
          <w:sz w:val="32"/>
          <w:szCs w:val="32"/>
        </w:rPr>
      </w:pPr>
    </w:p>
    <w:p w14:paraId="7E72EB5E"/>
    <w:p w14:paraId="29B028E2">
      <w:pPr>
        <w:pStyle w:val="2"/>
        <w:rPr>
          <w:rFonts w:ascii="仿宋" w:hAnsi="仿宋" w:eastAsia="仿宋"/>
          <w:sz w:val="32"/>
          <w:szCs w:val="32"/>
        </w:rPr>
      </w:pPr>
    </w:p>
    <w:p w14:paraId="36F59A48">
      <w:pPr>
        <w:rPr>
          <w:rFonts w:ascii="仿宋" w:hAnsi="仿宋" w:eastAsia="仿宋"/>
          <w:sz w:val="32"/>
          <w:szCs w:val="32"/>
        </w:rPr>
      </w:pPr>
    </w:p>
    <w:p w14:paraId="7FEBA21F">
      <w:pPr>
        <w:pStyle w:val="2"/>
      </w:pPr>
    </w:p>
    <w:p w14:paraId="74E1CBA7">
      <w:pPr>
        <w:pStyle w:val="2"/>
      </w:pPr>
    </w:p>
    <w:p w14:paraId="305FAEB3">
      <w:pPr>
        <w:spacing w:line="600" w:lineRule="exact"/>
        <w:ind w:firstLine="643" w:firstLineChars="200"/>
        <w:outlineLvl w:val="2"/>
        <w:rPr>
          <w:rFonts w:ascii="仿宋" w:hAnsi="仿宋" w:eastAsia="仿宋"/>
          <w:b/>
          <w:sz w:val="32"/>
          <w:szCs w:val="32"/>
        </w:rPr>
      </w:pPr>
      <w:bookmarkStart w:id="47" w:name="_Toc15377212"/>
      <w:r>
        <w:rPr>
          <w:rFonts w:hint="eastAsia" w:ascii="仿宋" w:hAnsi="仿宋" w:eastAsia="仿宋"/>
          <w:b/>
          <w:sz w:val="32"/>
          <w:szCs w:val="32"/>
        </w:rPr>
        <w:t>（三）一般公共预算财政拨款支出决算具体情况</w:t>
      </w:r>
      <w:bookmarkEnd w:id="47"/>
    </w:p>
    <w:p w14:paraId="67AACA5B">
      <w:pPr>
        <w:spacing w:line="600" w:lineRule="exact"/>
        <w:ind w:firstLine="643" w:firstLineChars="200"/>
        <w:outlineLvl w:val="2"/>
        <w:rPr>
          <w:rFonts w:ascii="仿宋" w:hAnsi="仿宋" w:eastAsia="仿宋"/>
          <w:sz w:val="32"/>
          <w:szCs w:val="32"/>
        </w:rPr>
      </w:pPr>
      <w:bookmarkStart w:id="48" w:name="_Toc15377213"/>
      <w:bookmarkStart w:id="49" w:name="_Toc15378460"/>
      <w:bookmarkStart w:id="50" w:name="_Toc15377444"/>
      <w:r>
        <w:rPr>
          <w:rFonts w:hint="eastAsia" w:ascii="仿宋" w:hAnsi="仿宋" w:eastAsia="仿宋"/>
          <w:b/>
          <w:sz w:val="32"/>
          <w:szCs w:val="32"/>
        </w:rPr>
        <w:t>2023年度一般公共预算支出决算数为</w:t>
      </w:r>
      <w:r>
        <w:rPr>
          <w:rFonts w:ascii="仿宋" w:hAnsi="仿宋" w:eastAsia="仿宋"/>
          <w:b/>
          <w:sz w:val="32"/>
          <w:szCs w:val="32"/>
        </w:rPr>
        <w:t>50.47</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48"/>
      <w:bookmarkEnd w:id="49"/>
      <w:bookmarkEnd w:id="50"/>
    </w:p>
    <w:p w14:paraId="72B711E1">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hint="eastAsia" w:ascii="仿宋" w:hAnsi="仿宋" w:eastAsia="仿宋"/>
          <w:bCs/>
          <w:color w:val="000000"/>
          <w:sz w:val="32"/>
          <w:szCs w:val="32"/>
        </w:rPr>
        <w:t>港澳台侨事务（款）行政运行</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支出决算为30.78万元，完成预算100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C8DB117">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一般公共服务（类）</w:t>
      </w:r>
      <w:r>
        <w:rPr>
          <w:rStyle w:val="17"/>
          <w:rFonts w:hint="eastAsia" w:ascii="仿宋" w:hAnsi="仿宋" w:eastAsia="仿宋"/>
          <w:bCs/>
          <w:color w:val="000000"/>
          <w:sz w:val="32"/>
          <w:szCs w:val="32"/>
        </w:rPr>
        <w:t>港澳台侨事务（款）一般行政管理事务</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支出决算为11.67万元，完成预算100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08D7799F">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3</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支出决算为3.41万元，完成预算100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165383F6">
      <w:pPr>
        <w:spacing w:line="600" w:lineRule="exact"/>
        <w:ind w:firstLine="643" w:firstLineChars="200"/>
        <w:rPr>
          <w:rFonts w:ascii="仿宋" w:hAnsi="仿宋" w:eastAsia="仿宋"/>
          <w:b/>
          <w:sz w:val="32"/>
          <w:szCs w:val="32"/>
        </w:rPr>
      </w:pPr>
      <w:r>
        <w:rPr>
          <w:rStyle w:val="17"/>
          <w:rFonts w:hint="eastAsia" w:ascii="仿宋" w:hAnsi="仿宋" w:eastAsia="仿宋"/>
          <w:bCs/>
          <w:color w:val="000000"/>
          <w:sz w:val="32"/>
          <w:szCs w:val="32"/>
        </w:rPr>
        <w:t>4</w:t>
      </w:r>
      <w:r>
        <w:rPr>
          <w:rStyle w:val="17"/>
          <w:rFonts w:ascii="仿宋" w:hAnsi="仿宋" w:eastAsia="仿宋"/>
          <w:bCs/>
          <w:color w:val="000000"/>
          <w:sz w:val="32"/>
          <w:szCs w:val="32"/>
        </w:rPr>
        <w:t>.</w:t>
      </w:r>
      <w:r>
        <w:rPr>
          <w:rFonts w:hint="eastAsia" w:ascii="仿宋" w:hAnsi="仿宋" w:eastAsia="仿宋"/>
          <w:b/>
          <w:color w:val="000000" w:themeColor="text1"/>
          <w:sz w:val="32"/>
          <w:szCs w:val="32"/>
          <w14:textFill>
            <w14:solidFill>
              <w14:schemeClr w14:val="tx1"/>
            </w14:solidFill>
          </w14:textFill>
        </w:rPr>
        <w:t>医疗卫生与计划生育（类）行政事业单位医疗★（款）行政单位医疗★（项）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支出决算为1.79万元，完成预算100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15DAD63">
      <w:pPr>
        <w:spacing w:line="600" w:lineRule="exact"/>
        <w:ind w:firstLine="643" w:firstLineChars="200"/>
        <w:rPr>
          <w:rFonts w:ascii="仿宋" w:hAnsi="仿宋" w:eastAsia="仿宋"/>
          <w:b/>
          <w:sz w:val="32"/>
          <w:szCs w:val="32"/>
        </w:rPr>
      </w:pPr>
      <w:r>
        <w:rPr>
          <w:rFonts w:hint="eastAsia" w:ascii="仿宋" w:hAnsi="仿宋" w:eastAsia="仿宋"/>
          <w:b/>
          <w:color w:val="000000" w:themeColor="text1"/>
          <w:sz w:val="32"/>
          <w:szCs w:val="32"/>
          <w14:textFill>
            <w14:solidFill>
              <w14:schemeClr w14:val="tx1"/>
            </w14:solidFill>
          </w14:textFill>
        </w:rPr>
        <w:t>5.住房保障支出（类）住房改革支出（款）住房公积金（项）：</w:t>
      </w:r>
      <w:r>
        <w:rPr>
          <w:rStyle w:val="17"/>
          <w:rFonts w:hint="eastAsia" w:ascii="仿宋" w:hAnsi="仿宋" w:eastAsia="仿宋"/>
          <w:b w:val="0"/>
          <w:bCs/>
          <w:sz w:val="32"/>
          <w:szCs w:val="32"/>
        </w:rPr>
        <w:t>支出决算为12.82万元，完成预算100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DA9505F">
      <w:pPr>
        <w:tabs>
          <w:tab w:val="right" w:pos="8306"/>
        </w:tabs>
        <w:spacing w:line="600" w:lineRule="exact"/>
        <w:ind w:firstLine="640"/>
        <w:outlineLvl w:val="1"/>
        <w:rPr>
          <w:rStyle w:val="28"/>
        </w:rPr>
      </w:pPr>
      <w:bookmarkStart w:id="51" w:name="_Toc15377214"/>
      <w:bookmarkStart w:id="52"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1"/>
      <w:bookmarkEnd w:id="52"/>
      <w:r>
        <w:rPr>
          <w:rStyle w:val="28"/>
          <w:rFonts w:ascii="黑体" w:hAnsi="黑体" w:eastAsia="黑体"/>
          <w:b w:val="0"/>
        </w:rPr>
        <w:tab/>
      </w:r>
    </w:p>
    <w:p w14:paraId="73F77608">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38.8</w:t>
      </w:r>
      <w:r>
        <w:rPr>
          <w:rFonts w:hint="eastAsia" w:ascii="仿宋" w:hAnsi="仿宋" w:eastAsia="仿宋"/>
          <w:sz w:val="32"/>
          <w:szCs w:val="32"/>
        </w:rPr>
        <w:t>万元，其中：</w:t>
      </w:r>
    </w:p>
    <w:p w14:paraId="56609CF5">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32.28</w:t>
      </w:r>
      <w:r>
        <w:rPr>
          <w:rFonts w:hint="eastAsia" w:ascii="仿宋" w:hAnsi="仿宋" w:eastAsia="仿宋"/>
          <w:sz w:val="32"/>
          <w:szCs w:val="32"/>
        </w:rPr>
        <w:t>万元，主要包括：基本工资、津贴补贴、奖金、机关事业单位基本养老保险缴费、其他社会保障缴费、</w:t>
      </w:r>
      <w:r>
        <w:rPr>
          <w:rFonts w:hint="eastAsia" w:ascii="仿宋" w:hAnsi="仿宋" w:eastAsia="仿宋"/>
          <w:color w:val="000000"/>
          <w:sz w:val="32"/>
          <w:szCs w:val="32"/>
        </w:rPr>
        <w:t>职工基本医疗保险缴费、公务员医疗补助缴费、</w:t>
      </w:r>
      <w:r>
        <w:rPr>
          <w:rFonts w:hint="eastAsia" w:ascii="仿宋" w:hAnsi="仿宋" w:eastAsia="仿宋"/>
          <w:sz w:val="32"/>
          <w:szCs w:val="32"/>
        </w:rPr>
        <w:t>其他工资福利支出、奖励金、住房公积金等。</w:t>
      </w:r>
    </w:p>
    <w:p w14:paraId="01366430">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ascii="仿宋" w:hAnsi="仿宋" w:eastAsia="仿宋"/>
          <w:b/>
          <w:sz w:val="32"/>
          <w:szCs w:val="32"/>
        </w:rPr>
        <w:t>6.52</w:t>
      </w:r>
      <w:r>
        <w:rPr>
          <w:rFonts w:hint="eastAsia" w:ascii="仿宋" w:hAnsi="仿宋" w:eastAsia="仿宋"/>
          <w:sz w:val="32"/>
          <w:szCs w:val="32"/>
        </w:rPr>
        <w:t>万元，主要包括：办公费、邮电费、物业管理费、差旅费、工会经费、福利费、其他交通费。</w:t>
      </w:r>
    </w:p>
    <w:p w14:paraId="3957A0E9">
      <w:pPr>
        <w:spacing w:line="600" w:lineRule="exact"/>
        <w:ind w:firstLine="640"/>
        <w:outlineLvl w:val="1"/>
        <w:rPr>
          <w:rStyle w:val="28"/>
          <w:rFonts w:ascii="黑体" w:hAnsi="黑体" w:eastAsia="黑体"/>
          <w:b w:val="0"/>
        </w:rPr>
      </w:pPr>
      <w:bookmarkStart w:id="53" w:name="_Toc15396609"/>
      <w:bookmarkStart w:id="54"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3"/>
      <w:bookmarkEnd w:id="54"/>
    </w:p>
    <w:p w14:paraId="48CF6560">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14:paraId="66C3447D">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，较上年度一致。决算数与预算数持平的主要原因是单位无此项支出。</w:t>
      </w:r>
    </w:p>
    <w:p w14:paraId="29123099">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14:paraId="07D7E27A">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5E32C1A9">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2863C83A">
      <w:pPr>
        <w:ind w:firstLine="5920" w:firstLineChars="1850"/>
        <w:rPr>
          <w:rFonts w:ascii="仿宋" w:hAnsi="仿宋" w:eastAsia="仿宋"/>
          <w:color w:val="000000"/>
          <w:sz w:val="32"/>
          <w:szCs w:val="32"/>
        </w:rPr>
      </w:pPr>
      <w:r>
        <w:rPr>
          <w:rFonts w:hint="eastAsia" w:ascii="仿宋" w:hAnsi="仿宋" w:eastAsia="仿宋"/>
          <w:color w:val="000000"/>
          <w:sz w:val="32"/>
          <w:szCs w:val="32"/>
        </w:rPr>
        <w:t>单位：万元</w:t>
      </w:r>
    </w:p>
    <w:p w14:paraId="3E1D5EE4">
      <w:pPr>
        <w:pStyle w:val="2"/>
        <w:rPr>
          <w:rFonts w:ascii="仿宋" w:hAnsi="仿宋" w:eastAsia="仿宋"/>
          <w:sz w:val="32"/>
          <w:szCs w:val="32"/>
        </w:rPr>
      </w:pPr>
      <w:r>
        <w:rPr>
          <w:rFonts w:ascii="仿宋" w:hAnsi="仿宋" w:eastAsia="仿宋"/>
          <w:color w:val="000000"/>
          <w:sz w:val="32"/>
          <w:szCs w:val="32"/>
        </w:rPr>
        <w:drawing>
          <wp:anchor distT="0" distB="0" distL="0" distR="0" simplePos="0" relativeHeight="251665408" behindDoc="0" locked="0" layoutInCell="1" allowOverlap="1">
            <wp:simplePos x="0" y="0"/>
            <wp:positionH relativeFrom="column">
              <wp:posOffset>278130</wp:posOffset>
            </wp:positionH>
            <wp:positionV relativeFrom="paragraph">
              <wp:posOffset>238760</wp:posOffset>
            </wp:positionV>
            <wp:extent cx="4333875" cy="2295525"/>
            <wp:effectExtent l="4445" t="4445" r="5080" b="5080"/>
            <wp:wrapNone/>
            <wp:docPr id="1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2362FC8">
      <w:pPr>
        <w:rPr>
          <w:rFonts w:ascii="仿宋" w:hAnsi="仿宋" w:eastAsia="仿宋"/>
          <w:sz w:val="32"/>
          <w:szCs w:val="32"/>
        </w:rPr>
      </w:pPr>
    </w:p>
    <w:p w14:paraId="0137C311">
      <w:pPr>
        <w:pStyle w:val="2"/>
        <w:rPr>
          <w:rFonts w:ascii="仿宋" w:hAnsi="仿宋" w:eastAsia="仿宋"/>
          <w:sz w:val="32"/>
          <w:szCs w:val="32"/>
        </w:rPr>
      </w:pPr>
    </w:p>
    <w:p w14:paraId="68BFD662">
      <w:pPr>
        <w:rPr>
          <w:rFonts w:ascii="仿宋" w:hAnsi="仿宋" w:eastAsia="仿宋"/>
          <w:sz w:val="32"/>
          <w:szCs w:val="32"/>
        </w:rPr>
      </w:pPr>
    </w:p>
    <w:p w14:paraId="776350BB">
      <w:pPr>
        <w:pStyle w:val="2"/>
        <w:rPr>
          <w:rFonts w:ascii="仿宋" w:hAnsi="仿宋" w:eastAsia="仿宋"/>
          <w:sz w:val="32"/>
          <w:szCs w:val="32"/>
        </w:rPr>
      </w:pPr>
    </w:p>
    <w:p w14:paraId="24B22215"/>
    <w:p w14:paraId="771FD797">
      <w:pPr>
        <w:spacing w:line="600" w:lineRule="exact"/>
        <w:ind w:firstLine="640"/>
        <w:rPr>
          <w:rFonts w:ascii="仿宋_GB2312" w:eastAsia="仿宋_GB2312"/>
          <w:b/>
          <w:sz w:val="32"/>
          <w:szCs w:val="32"/>
        </w:rPr>
      </w:pPr>
      <w:bookmarkStart w:id="57" w:name="_Toc15396610"/>
      <w:bookmarkStart w:id="58"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人。因公出国（境）支出决算较2022年无变化。主要原因是单位无此项支出。</w:t>
      </w:r>
    </w:p>
    <w:p w14:paraId="513E63F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公务用车购置及运行维护费支出决算较2022年度无变化，。主要原因是单位无此项支出。</w:t>
      </w:r>
    </w:p>
    <w:p w14:paraId="6894092B">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月31日，单位共有公务用车0辆，其中：轿车0辆、越野车0辆、载客汽车0辆。</w:t>
      </w:r>
    </w:p>
    <w:p w14:paraId="04C900A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2713581E">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公务接待费支出决算较2022年度一致。主要原因是单位无此项支出。</w:t>
      </w:r>
    </w:p>
    <w:p w14:paraId="35EA9CD8">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万元。国内公务接待0批次，0人次（不包括陪同人员），共计支出0万元。</w:t>
      </w:r>
    </w:p>
    <w:p w14:paraId="1479D90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14:paraId="41994637">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57"/>
      <w:bookmarkEnd w:id="58"/>
    </w:p>
    <w:p w14:paraId="1CD104EB">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8A4E9F3">
      <w:pPr>
        <w:numPr>
          <w:ilvl w:val="0"/>
          <w:numId w:val="3"/>
        </w:numPr>
        <w:spacing w:line="600" w:lineRule="exact"/>
        <w:ind w:firstLine="640"/>
        <w:outlineLvl w:val="1"/>
        <w:rPr>
          <w:rStyle w:val="28"/>
          <w:rFonts w:ascii="黑体" w:hAnsi="黑体" w:eastAsia="黑体"/>
          <w:b w:val="0"/>
        </w:rPr>
      </w:pPr>
      <w:bookmarkStart w:id="59" w:name="_Toc15377219"/>
      <w:bookmarkStart w:id="60" w:name="_Toc15396611"/>
      <w:r>
        <w:rPr>
          <w:rStyle w:val="28"/>
          <w:rFonts w:hint="eastAsia" w:ascii="黑体" w:hAnsi="黑体" w:eastAsia="黑体"/>
          <w:b w:val="0"/>
        </w:rPr>
        <w:t>国有资本经营预算支出决算情况说明</w:t>
      </w:r>
      <w:bookmarkEnd w:id="59"/>
      <w:bookmarkEnd w:id="60"/>
    </w:p>
    <w:p w14:paraId="1DBA2CC2">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80A6997">
      <w:pPr>
        <w:numPr>
          <w:ilvl w:val="0"/>
          <w:numId w:val="3"/>
        </w:numPr>
        <w:spacing w:line="600" w:lineRule="exact"/>
        <w:ind w:firstLine="640"/>
        <w:outlineLvl w:val="1"/>
        <w:rPr>
          <w:rStyle w:val="28"/>
          <w:rFonts w:ascii="黑体" w:hAnsi="黑体" w:eastAsia="黑体"/>
          <w:b w:val="0"/>
        </w:rPr>
      </w:pPr>
      <w:bookmarkStart w:id="61" w:name="_Toc15396612"/>
      <w:bookmarkStart w:id="62" w:name="_Toc15377221"/>
      <w:r>
        <w:rPr>
          <w:rStyle w:val="28"/>
          <w:rFonts w:hint="eastAsia" w:ascii="黑体" w:hAnsi="黑体" w:eastAsia="黑体"/>
          <w:b w:val="0"/>
        </w:rPr>
        <w:t>其他重要事项的情况说明</w:t>
      </w:r>
      <w:bookmarkEnd w:id="61"/>
      <w:bookmarkEnd w:id="62"/>
    </w:p>
    <w:p w14:paraId="3A114393">
      <w:pPr>
        <w:spacing w:line="600" w:lineRule="exact"/>
        <w:ind w:firstLine="643" w:firstLineChars="200"/>
        <w:outlineLvl w:val="2"/>
        <w:rPr>
          <w:rFonts w:ascii="仿宋" w:hAnsi="仿宋" w:eastAsia="仿宋"/>
          <w:sz w:val="32"/>
          <w:szCs w:val="32"/>
        </w:rPr>
      </w:pPr>
      <w:bookmarkStart w:id="63" w:name="_Toc15377222"/>
      <w:r>
        <w:rPr>
          <w:rFonts w:hint="eastAsia" w:ascii="仿宋" w:hAnsi="仿宋" w:eastAsia="仿宋"/>
          <w:b/>
          <w:sz w:val="32"/>
          <w:szCs w:val="32"/>
        </w:rPr>
        <w:t>（一）机关运行经费支出情况</w:t>
      </w:r>
      <w:bookmarkEnd w:id="63"/>
    </w:p>
    <w:p w14:paraId="4516D9F7">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巴中市巴州区归国华侨联合会</w:t>
      </w:r>
      <w:r>
        <w:rPr>
          <w:rFonts w:hint="eastAsia" w:ascii="仿宋_GB2312" w:eastAsia="仿宋_GB2312"/>
          <w:sz w:val="32"/>
          <w:szCs w:val="32"/>
        </w:rPr>
        <w:t>机关运行经费支出</w:t>
      </w:r>
      <w:r>
        <w:rPr>
          <w:rFonts w:ascii="仿宋" w:hAnsi="仿宋" w:eastAsia="仿宋"/>
          <w:b/>
          <w:sz w:val="32"/>
          <w:szCs w:val="32"/>
        </w:rPr>
        <w:t>6.52</w:t>
      </w:r>
      <w:r>
        <w:rPr>
          <w:rFonts w:hint="eastAsia" w:ascii="仿宋_GB2312" w:eastAsia="仿宋_GB2312"/>
          <w:sz w:val="32"/>
          <w:szCs w:val="32"/>
        </w:rPr>
        <w:t>万元，比2022年度7.65</w:t>
      </w:r>
      <w:r>
        <w:rPr>
          <w:rFonts w:hint="eastAsia" w:ascii="仿宋_GB2312" w:eastAsia="仿宋_GB2312"/>
          <w:sz w:val="32"/>
          <w:szCs w:val="32"/>
          <w:lang w:eastAsia="zh-CN"/>
        </w:rPr>
        <w:t>万元</w:t>
      </w:r>
      <w:r>
        <w:rPr>
          <w:rFonts w:hint="eastAsia" w:ascii="仿宋_GB2312" w:eastAsia="仿宋_GB2312"/>
          <w:sz w:val="32"/>
          <w:szCs w:val="32"/>
        </w:rPr>
        <w:t>减少1.13万元，下降15</w:t>
      </w:r>
      <w:r>
        <w:rPr>
          <w:rFonts w:ascii="仿宋_GB2312" w:eastAsia="仿宋_GB2312"/>
          <w:sz w:val="32"/>
          <w:szCs w:val="32"/>
        </w:rPr>
        <w:t>%</w:t>
      </w:r>
      <w:r>
        <w:rPr>
          <w:rFonts w:hint="eastAsia" w:ascii="仿宋_GB2312" w:eastAsia="仿宋_GB2312"/>
          <w:sz w:val="32"/>
          <w:szCs w:val="32"/>
        </w:rPr>
        <w:t>。主要原因是单位厉行节约，精简支出，减少机关运转费用。</w:t>
      </w:r>
    </w:p>
    <w:p w14:paraId="1DA49AD0">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3"/>
      <w:r>
        <w:rPr>
          <w:rFonts w:hint="eastAsia" w:ascii="仿宋" w:hAnsi="仿宋" w:eastAsia="仿宋"/>
          <w:b/>
          <w:sz w:val="32"/>
          <w:szCs w:val="32"/>
        </w:rPr>
        <w:t>（二）政府采购支出情况</w:t>
      </w:r>
      <w:bookmarkEnd w:id="64"/>
    </w:p>
    <w:p w14:paraId="63BD260C">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巴中市巴州区归国华侨联合会</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0B7D617">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4"/>
      <w:r>
        <w:rPr>
          <w:rFonts w:hint="eastAsia" w:ascii="仿宋" w:hAnsi="仿宋" w:eastAsia="仿宋"/>
          <w:b/>
          <w:sz w:val="32"/>
          <w:szCs w:val="32"/>
        </w:rPr>
        <w:t>（三）国有资产占有使用情况</w:t>
      </w:r>
      <w:bookmarkEnd w:id="65"/>
    </w:p>
    <w:p w14:paraId="3844892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巴中市巴州区归国华侨联合会</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4676161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E6E5BEF">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侨务联络经费、侨联工作经费、归侨侨眷代表大会项目（项目名称）等3个项目开展了预算事前绩效评估，对3个项目编制了绩效目标，预算执行过程中，选取3个项目开展绩效监控，组织对3个项目开展绩效自评，绩效自评表详见第四部分附件。</w:t>
      </w:r>
    </w:p>
    <w:p w14:paraId="56D8955A">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1128685">
      <w:pPr>
        <w:numPr>
          <w:ilvl w:val="0"/>
          <w:numId w:val="4"/>
        </w:numPr>
        <w:spacing w:line="600" w:lineRule="exact"/>
        <w:ind w:firstLine="660" w:firstLineChars="150"/>
        <w:jc w:val="center"/>
        <w:outlineLvl w:val="0"/>
        <w:rPr>
          <w:rStyle w:val="27"/>
          <w:rFonts w:ascii="黑体" w:hAnsi="黑体" w:eastAsia="黑体"/>
          <w:b w:val="0"/>
        </w:rPr>
      </w:pPr>
      <w:bookmarkStart w:id="66" w:name="_Toc15377225"/>
      <w:bookmarkStart w:id="67" w:name="_Toc15396613"/>
      <w:r>
        <w:rPr>
          <w:rFonts w:hint="eastAsia" w:ascii="黑体" w:hAnsi="黑体" w:eastAsia="黑体"/>
          <w:sz w:val="44"/>
          <w:szCs w:val="44"/>
        </w:rPr>
        <w:t>名</w:t>
      </w:r>
      <w:r>
        <w:rPr>
          <w:rStyle w:val="27"/>
          <w:rFonts w:hint="eastAsia" w:ascii="黑体" w:hAnsi="黑体" w:eastAsia="黑体"/>
          <w:b w:val="0"/>
        </w:rPr>
        <w:t>词解释</w:t>
      </w:r>
      <w:bookmarkEnd w:id="66"/>
      <w:bookmarkEnd w:id="67"/>
    </w:p>
    <w:p w14:paraId="35DE3CC2">
      <w:pPr>
        <w:spacing w:line="600" w:lineRule="exact"/>
        <w:jc w:val="left"/>
        <w:rPr>
          <w:rFonts w:ascii="宋体"/>
          <w:b/>
          <w:sz w:val="44"/>
          <w:szCs w:val="44"/>
        </w:rPr>
      </w:pPr>
    </w:p>
    <w:p w14:paraId="39E04450">
      <w:pPr>
        <w:pStyle w:val="25"/>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2085C23D">
      <w:pPr>
        <w:pStyle w:val="25"/>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398A69BF">
      <w:pPr>
        <w:pStyle w:val="25"/>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4B481DCB">
      <w:pPr>
        <w:pStyle w:val="25"/>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5E7B353B">
      <w:pPr>
        <w:pStyle w:val="25"/>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1A5E71FD">
      <w:pPr>
        <w:pStyle w:val="25"/>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B3AD78A">
      <w:pPr>
        <w:pStyle w:val="25"/>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03114ED5">
      <w:pPr>
        <w:pStyle w:val="25"/>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14:paraId="752C91FE">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一般公共服务（类）港澳台侨事务（款）行政运行（项）: 指行政单位（包含实行公务员管理的事业单位）的基本支出。</w:t>
      </w:r>
    </w:p>
    <w:p w14:paraId="74866FD6">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一般公共服务（类）港澳台侨事务（款）一般行政管理事务（项）：指行政单位（包含实行公务员管理的事业单位）未单独设置项级科目的其他项目支出。</w:t>
      </w:r>
    </w:p>
    <w:p w14:paraId="649C5025">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一般公共服务（类）对外联络事务（款）一般行政管理事务（项）：指行政单位（包含实行公务员管理的事业单位）未单独设置项级科目的其他项目支出。</w:t>
      </w:r>
    </w:p>
    <w:p w14:paraId="52FFAF09">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社会保障和就业（类）行政事业单位离退休（款）机关事业单位基本养老保险缴费支出★（项）: 指机关事业单位实施养老保险制度由单位缴纳的基本养老保险支出。</w:t>
      </w:r>
    </w:p>
    <w:p w14:paraId="6ABC8D68">
      <w:pPr>
        <w:ind w:firstLine="640" w:firstLineChars="200"/>
        <w:rPr>
          <w:rFonts w:ascii="仿宋_GB2312" w:eastAsia="仿宋_GB2312"/>
          <w:color w:val="000000"/>
          <w:sz w:val="32"/>
          <w:szCs w:val="32"/>
        </w:rPr>
      </w:pPr>
      <w:r>
        <w:rPr>
          <w:rFonts w:hint="eastAsia" w:ascii="仿宋_GB2312" w:eastAsia="仿宋_GB2312"/>
          <w:color w:val="000000"/>
          <w:sz w:val="32"/>
          <w:szCs w:val="32"/>
        </w:rPr>
        <w:t>13.医疗卫生与计划生育（类）行政事业单位医疗★（款）行政单位医疗★（项）:指财政部门集中安排的行政单位基本医疗保险缴费经费，未参加医疗保险的行政单位的公费医疗经费，按国家规定享受离休人员、红军老战士待遇人员的医疗经费。</w:t>
      </w:r>
    </w:p>
    <w:p w14:paraId="07FDDE4C">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14:paraId="3571DDE6">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364226E5">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4973C81F">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32285EDF">
      <w:pPr>
        <w:pStyle w:val="25"/>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7EDAE6E">
      <w:pPr>
        <w:pStyle w:val="25"/>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892B6C">
      <w:pPr>
        <w:pStyle w:val="25"/>
        <w:spacing w:line="560" w:lineRule="exact"/>
        <w:ind w:firstLine="640" w:firstLineChars="200"/>
        <w:rPr>
          <w:rFonts w:ascii="仿宋_GB2312" w:eastAsia="仿宋_GB2312" w:cs="黑体"/>
          <w:color w:val="auto"/>
          <w:sz w:val="32"/>
          <w:szCs w:val="32"/>
        </w:rPr>
      </w:pPr>
    </w:p>
    <w:p w14:paraId="4538968A">
      <w:pPr>
        <w:spacing w:line="600" w:lineRule="exact"/>
        <w:jc w:val="center"/>
        <w:outlineLvl w:val="0"/>
        <w:rPr>
          <w:rFonts w:ascii="宋体"/>
          <w:b/>
          <w:sz w:val="44"/>
          <w:szCs w:val="4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68" w:name="_Toc15377226"/>
    </w:p>
    <w:p w14:paraId="68D18538">
      <w:pPr>
        <w:spacing w:line="600" w:lineRule="exact"/>
        <w:jc w:val="center"/>
        <w:outlineLvl w:val="0"/>
        <w:rPr>
          <w:rStyle w:val="27"/>
          <w:rFonts w:hint="eastAsia" w:ascii="黑体" w:hAnsi="黑体" w:eastAsia="黑体"/>
          <w:b w:val="0"/>
        </w:rPr>
      </w:pPr>
      <w:bookmarkStart w:id="69" w:name="_Toc15396614"/>
      <w:r>
        <w:rPr>
          <w:rFonts w:hint="eastAsia" w:ascii="黑体" w:hAnsi="黑体" w:eastAsia="黑体"/>
          <w:sz w:val="44"/>
          <w:szCs w:val="44"/>
        </w:rPr>
        <w:t>第</w:t>
      </w:r>
      <w:r>
        <w:rPr>
          <w:rStyle w:val="27"/>
          <w:rFonts w:hint="eastAsia" w:ascii="黑体" w:hAnsi="黑体" w:eastAsia="黑体"/>
          <w:b w:val="0"/>
        </w:rPr>
        <w:t>四部分 附件</w:t>
      </w:r>
      <w:bookmarkEnd w:id="69"/>
    </w:p>
    <w:p w14:paraId="62275CCE">
      <w:pPr>
        <w:pStyle w:val="2"/>
        <w:rPr>
          <w:rFonts w:hint="eastAsia" w:eastAsia="黑体"/>
          <w:lang w:eastAsia="zh-CN"/>
        </w:rPr>
      </w:pPr>
      <w:r>
        <w:rPr>
          <w:rFonts w:hint="eastAsia" w:eastAsia="黑体"/>
          <w:lang w:eastAsia="zh-CN"/>
        </w:rPr>
        <w:drawing>
          <wp:inline distT="0" distB="0" distL="114300" distR="114300">
            <wp:extent cx="5273040" cy="7256780"/>
            <wp:effectExtent l="0" t="0" r="3810" b="1270"/>
            <wp:docPr id="4" name="图片 4" descr="173319742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3197426698"/>
                    <pic:cNvPicPr>
                      <a:picLocks noChangeAspect="1"/>
                    </pic:cNvPicPr>
                  </pic:nvPicPr>
                  <pic:blipFill>
                    <a:blip r:embed="rId13"/>
                    <a:stretch>
                      <a:fillRect/>
                    </a:stretch>
                  </pic:blipFill>
                  <pic:spPr>
                    <a:xfrm>
                      <a:off x="0" y="0"/>
                      <a:ext cx="5273040" cy="7256780"/>
                    </a:xfrm>
                    <a:prstGeom prst="rect">
                      <a:avLst/>
                    </a:prstGeom>
                  </pic:spPr>
                </pic:pic>
              </a:graphicData>
            </a:graphic>
          </wp:inline>
        </w:drawing>
      </w:r>
    </w:p>
    <w:p w14:paraId="48400DBB">
      <w:pPr>
        <w:rPr>
          <w:rFonts w:hint="eastAsia" w:eastAsia="黑体"/>
          <w:lang w:eastAsia="zh-CN"/>
        </w:rPr>
      </w:pPr>
    </w:p>
    <w:p w14:paraId="1A0D5DA1">
      <w:pPr>
        <w:pStyle w:val="2"/>
        <w:rPr>
          <w:rFonts w:hint="eastAsia" w:eastAsia="黑体"/>
          <w:lang w:eastAsia="zh-CN"/>
        </w:rPr>
      </w:pPr>
    </w:p>
    <w:p w14:paraId="1967695F">
      <w:r>
        <w:rPr>
          <w:rFonts w:hint="eastAsia" w:eastAsia="宋体"/>
          <w:lang w:eastAsia="zh-CN"/>
        </w:rPr>
        <w:drawing>
          <wp:inline distT="0" distB="0" distL="114300" distR="114300">
            <wp:extent cx="5271770" cy="7061835"/>
            <wp:effectExtent l="0" t="0" r="5080" b="5715"/>
            <wp:docPr id="5" name="图片 5" descr="173319738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3197389379"/>
                    <pic:cNvPicPr>
                      <a:picLocks noChangeAspect="1"/>
                    </pic:cNvPicPr>
                  </pic:nvPicPr>
                  <pic:blipFill>
                    <a:blip r:embed="rId14"/>
                    <a:stretch>
                      <a:fillRect/>
                    </a:stretch>
                  </pic:blipFill>
                  <pic:spPr>
                    <a:xfrm>
                      <a:off x="0" y="0"/>
                      <a:ext cx="5271770" cy="7061835"/>
                    </a:xfrm>
                    <a:prstGeom prst="rect">
                      <a:avLst/>
                    </a:prstGeom>
                  </pic:spPr>
                </pic:pic>
              </a:graphicData>
            </a:graphic>
          </wp:inline>
        </w:drawing>
      </w:r>
    </w:p>
    <w:p w14:paraId="3CDDED42"/>
    <w:p w14:paraId="46361982">
      <w:pPr>
        <w:pStyle w:val="2"/>
      </w:pPr>
    </w:p>
    <w:p w14:paraId="6B0FED74"/>
    <w:p w14:paraId="4F1145BA"/>
    <w:p w14:paraId="35AC8E2C">
      <w:pPr>
        <w:spacing w:line="600" w:lineRule="exact"/>
        <w:jc w:val="center"/>
        <w:outlineLvl w:val="0"/>
        <w:rPr>
          <w:rFonts w:ascii="仿宋" w:hAnsi="仿宋" w:eastAsia="仿宋"/>
        </w:rPr>
      </w:pPr>
      <w:bookmarkStart w:id="70" w:name="_Toc15396618"/>
      <w:r>
        <w:rPr>
          <w:rFonts w:hint="eastAsia" w:ascii="黑体" w:hAnsi="黑体" w:eastAsia="黑体"/>
          <w:sz w:val="44"/>
          <w:szCs w:val="44"/>
        </w:rPr>
        <w:t>第</w:t>
      </w:r>
      <w:r>
        <w:rPr>
          <w:rStyle w:val="27"/>
          <w:rFonts w:hint="eastAsia" w:ascii="黑体" w:hAnsi="黑体" w:eastAsia="黑体"/>
          <w:b w:val="0"/>
        </w:rPr>
        <w:t>五部分 附表</w:t>
      </w:r>
      <w:bookmarkEnd w:id="68"/>
      <w:bookmarkEnd w:id="70"/>
      <w:bookmarkStart w:id="71" w:name="_Toc15396619"/>
    </w:p>
    <w:p w14:paraId="46290D61">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71"/>
    </w:p>
    <w:p w14:paraId="017D5AB4">
      <w:pPr>
        <w:pStyle w:val="4"/>
        <w:rPr>
          <w:rFonts w:ascii="仿宋" w:hAnsi="仿宋" w:eastAsia="仿宋"/>
        </w:rPr>
      </w:pPr>
      <w:bookmarkStart w:id="72" w:name="_Toc15396620"/>
      <w:r>
        <w:rPr>
          <w:rFonts w:hint="eastAsia" w:ascii="仿宋" w:hAnsi="仿宋" w:eastAsia="仿宋"/>
          <w:b w:val="0"/>
        </w:rPr>
        <w:t>二、收</w:t>
      </w:r>
      <w:r>
        <w:rPr>
          <w:rStyle w:val="28"/>
          <w:rFonts w:hint="eastAsia" w:ascii="仿宋" w:hAnsi="仿宋" w:eastAsia="仿宋"/>
          <w:b w:val="0"/>
          <w:bCs w:val="0"/>
        </w:rPr>
        <w:t>入决算表</w:t>
      </w:r>
      <w:bookmarkEnd w:id="72"/>
    </w:p>
    <w:p w14:paraId="5D905AF1">
      <w:pPr>
        <w:pStyle w:val="4"/>
        <w:rPr>
          <w:rFonts w:ascii="仿宋" w:hAnsi="仿宋" w:eastAsia="仿宋"/>
        </w:rPr>
      </w:pPr>
      <w:bookmarkStart w:id="73"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73"/>
    </w:p>
    <w:p w14:paraId="5D43655E">
      <w:pPr>
        <w:pStyle w:val="4"/>
        <w:rPr>
          <w:rFonts w:ascii="仿宋" w:hAnsi="仿宋" w:eastAsia="仿宋"/>
          <w:b w:val="0"/>
        </w:rPr>
      </w:pPr>
      <w:bookmarkStart w:id="74"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74"/>
    </w:p>
    <w:p w14:paraId="7ED8EF5A">
      <w:pPr>
        <w:pStyle w:val="4"/>
        <w:rPr>
          <w:rStyle w:val="28"/>
          <w:rFonts w:ascii="仿宋" w:hAnsi="仿宋" w:eastAsia="仿宋"/>
          <w:b w:val="0"/>
          <w:bCs w:val="0"/>
        </w:rPr>
      </w:pPr>
      <w:bookmarkStart w:id="75"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75"/>
      <w:bookmarkStart w:id="76" w:name="_Toc15396624"/>
    </w:p>
    <w:p w14:paraId="01FD7B58">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76"/>
    </w:p>
    <w:p w14:paraId="0F72A62F">
      <w:pPr>
        <w:pStyle w:val="4"/>
        <w:rPr>
          <w:rFonts w:ascii="仿宋" w:hAnsi="仿宋" w:eastAsia="仿宋"/>
        </w:rPr>
      </w:pPr>
      <w:bookmarkStart w:id="77"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77"/>
    </w:p>
    <w:p w14:paraId="4DED4F7E">
      <w:pPr>
        <w:pStyle w:val="4"/>
        <w:rPr>
          <w:rFonts w:ascii="仿宋" w:hAnsi="仿宋" w:eastAsia="仿宋"/>
        </w:rPr>
      </w:pPr>
      <w:bookmarkStart w:id="78"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78"/>
    </w:p>
    <w:p w14:paraId="49113C07">
      <w:pPr>
        <w:pStyle w:val="4"/>
        <w:rPr>
          <w:rFonts w:ascii="仿宋" w:hAnsi="仿宋" w:eastAsia="仿宋"/>
        </w:rPr>
      </w:pPr>
      <w:bookmarkStart w:id="79"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79"/>
    </w:p>
    <w:p w14:paraId="40855D03">
      <w:pPr>
        <w:pStyle w:val="4"/>
        <w:rPr>
          <w:rFonts w:ascii="仿宋" w:hAnsi="仿宋" w:eastAsia="仿宋"/>
        </w:rPr>
      </w:pPr>
      <w:bookmarkStart w:id="80" w:name="_Toc15396628"/>
      <w:r>
        <w:rPr>
          <w:rStyle w:val="28"/>
          <w:rFonts w:hint="eastAsia" w:ascii="仿宋" w:hAnsi="仿宋" w:eastAsia="仿宋"/>
          <w:b w:val="0"/>
          <w:bCs w:val="0"/>
        </w:rPr>
        <w:t>十、</w:t>
      </w:r>
      <w:bookmarkEnd w:id="80"/>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28A64A1A">
      <w:pPr>
        <w:pStyle w:val="4"/>
        <w:rPr>
          <w:rFonts w:ascii="仿宋" w:hAnsi="仿宋" w:eastAsia="仿宋"/>
        </w:rPr>
      </w:pPr>
      <w:bookmarkStart w:id="81" w:name="_Toc15396629"/>
      <w:r>
        <w:rPr>
          <w:rStyle w:val="28"/>
          <w:rFonts w:hint="eastAsia" w:ascii="仿宋" w:hAnsi="仿宋" w:eastAsia="仿宋"/>
          <w:b w:val="0"/>
          <w:bCs w:val="0"/>
        </w:rPr>
        <w:t>十一、</w:t>
      </w:r>
      <w:bookmarkEnd w:id="81"/>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7BC4BB95">
      <w:pPr>
        <w:pStyle w:val="4"/>
        <w:rPr>
          <w:rFonts w:ascii="仿宋" w:hAnsi="仿宋" w:eastAsia="仿宋"/>
        </w:rPr>
      </w:pPr>
      <w:bookmarkStart w:id="82" w:name="_Toc15396630"/>
      <w:r>
        <w:rPr>
          <w:rStyle w:val="28"/>
          <w:rFonts w:hint="eastAsia" w:ascii="仿宋" w:hAnsi="仿宋" w:eastAsia="仿宋"/>
          <w:b w:val="0"/>
          <w:bCs w:val="0"/>
        </w:rPr>
        <w:t>十二、</w:t>
      </w:r>
      <w:bookmarkEnd w:id="82"/>
      <w:r>
        <w:rPr>
          <w:rStyle w:val="28"/>
          <w:rFonts w:hint="eastAsia" w:ascii="仿宋" w:hAnsi="仿宋" w:eastAsia="仿宋"/>
          <w:b w:val="0"/>
          <w:bCs w:val="0"/>
        </w:rPr>
        <w:t>国有资本经营预算财政拨款支出决算表</w:t>
      </w:r>
    </w:p>
    <w:p w14:paraId="5687A9EC">
      <w:pPr>
        <w:pStyle w:val="4"/>
        <w:rPr>
          <w:rFonts w:eastAsia="仿宋"/>
        </w:rPr>
      </w:pPr>
      <w:bookmarkStart w:id="83" w:name="_Toc15396631"/>
      <w:r>
        <w:rPr>
          <w:rStyle w:val="28"/>
          <w:rFonts w:hint="eastAsia" w:ascii="仿宋" w:hAnsi="仿宋" w:eastAsia="仿宋"/>
          <w:b w:val="0"/>
          <w:bCs w:val="0"/>
        </w:rPr>
        <w:t>十三、</w:t>
      </w:r>
      <w:bookmarkEnd w:id="83"/>
      <w:r>
        <w:rPr>
          <w:rStyle w:val="28"/>
          <w:rFonts w:hint="eastAsia" w:ascii="仿宋" w:hAnsi="仿宋" w:eastAsia="仿宋"/>
          <w:b w:val="0"/>
          <w:bCs w:val="0"/>
        </w:rPr>
        <w:t>财政拨款“三公”经费支出决算表</w:t>
      </w: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9E1EE04">
        <w:pPr>
          <w:pStyle w:val="10"/>
          <w:jc w:val="center"/>
        </w:pPr>
        <w:r>
          <w:fldChar w:fldCharType="begin"/>
        </w:r>
        <w:r>
          <w:instrText xml:space="preserve">PAGE   \* MERGEFORMAT</w:instrText>
        </w:r>
        <w:r>
          <w:fldChar w:fldCharType="separate"/>
        </w:r>
        <w:r>
          <w:rPr>
            <w:lang w:val="zh-CN"/>
          </w:rPr>
          <w:t>18</w:t>
        </w:r>
        <w:r>
          <w:fldChar w:fldCharType="end"/>
        </w:r>
      </w:p>
    </w:sdtContent>
  </w:sdt>
  <w:p w14:paraId="0A4734E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760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jIyNWQ2ZGI1MzgxMjcwMmI3NDg3YjFhZjUxYW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E0D2C"/>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920FA"/>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A990A51"/>
    <w:rsid w:val="1BE8440E"/>
    <w:rsid w:val="1C061FC4"/>
    <w:rsid w:val="1D155CEE"/>
    <w:rsid w:val="1FDBBF84"/>
    <w:rsid w:val="20F57F95"/>
    <w:rsid w:val="23FE44DA"/>
    <w:rsid w:val="240371BF"/>
    <w:rsid w:val="25711CC6"/>
    <w:rsid w:val="25C741E6"/>
    <w:rsid w:val="25E90D23"/>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13F08"/>
    <w:rsid w:val="3FECA4B2"/>
    <w:rsid w:val="3FF58C48"/>
    <w:rsid w:val="42FF6694"/>
    <w:rsid w:val="48BF60AB"/>
    <w:rsid w:val="493C27E9"/>
    <w:rsid w:val="496F39ED"/>
    <w:rsid w:val="49FF41D3"/>
    <w:rsid w:val="4BE068DB"/>
    <w:rsid w:val="4BF6002B"/>
    <w:rsid w:val="4BFFC6BE"/>
    <w:rsid w:val="4ECE2238"/>
    <w:rsid w:val="51DB4B86"/>
    <w:rsid w:val="51F64DB0"/>
    <w:rsid w:val="549631BF"/>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字符"/>
    <w:basedOn w:val="16"/>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6"/>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收、支决算总计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42.78</c:v>
                </c:pt>
                <c:pt idx="1">
                  <c:v>50.47</c:v>
                </c:pt>
              </c:numCache>
            </c:numRef>
          </c:val>
        </c:ser>
        <c:dLbls>
          <c:showLegendKey val="0"/>
          <c:showVal val="1"/>
          <c:showCatName val="0"/>
          <c:showSerName val="0"/>
          <c:showPercent val="0"/>
          <c:showBubbleSize val="0"/>
        </c:dLbls>
        <c:gapWidth val="150"/>
        <c:axId val="193209088"/>
        <c:axId val="193210624"/>
      </c:barChart>
      <c:catAx>
        <c:axId val="1932090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3210624"/>
        <c:crosses val="autoZero"/>
        <c:auto val="1"/>
        <c:lblAlgn val="ctr"/>
        <c:lblOffset val="100"/>
        <c:noMultiLvlLbl val="0"/>
      </c:catAx>
      <c:valAx>
        <c:axId val="193210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320908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gradFill>
      <a:gsLst>
        <a:gs pos="0">
          <a:schemeClr val="tx2">
            <a:lumMod val="60000"/>
            <a:lumOff val="40000"/>
          </a:schemeClr>
        </a:gs>
        <a:gs pos="50000">
          <a:srgbClr val="4F81BD">
            <a:tint val="44500"/>
            <a:satMod val="160000"/>
          </a:srgbClr>
        </a:gs>
        <a:gs pos="100000">
          <a:srgbClr val="4F81BD">
            <a:tint val="23500"/>
            <a:satMod val="160000"/>
          </a:srgbClr>
        </a:gs>
      </a:gsLst>
      <a:lin ang="5400000" scaled="0"/>
    </a:gradFill>
  </c:spPr>
  <c:txPr>
    <a:bodyPr/>
    <a:lstStyle/>
    <a:p>
      <a:pPr>
        <a:defRPr lang="zh-CN" baseline="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explosion val="0"/>
          <c:dPt>
            <c:idx val="0"/>
            <c:bubble3D val="0"/>
            <c:explosion val="8"/>
          </c:dPt>
          <c:dPt>
            <c:idx val="1"/>
            <c:bubble3D val="0"/>
          </c:dPt>
          <c:dPt>
            <c:idx val="2"/>
            <c:bubble3D val="0"/>
          </c:dPt>
          <c:dPt>
            <c:idx val="3"/>
            <c:bubble3D val="0"/>
          </c:dPt>
          <c:dPt>
            <c:idx val="4"/>
            <c:bubble3D val="0"/>
          </c:dPt>
          <c:dPt>
            <c:idx val="5"/>
            <c:bubble3D val="0"/>
          </c:dPt>
          <c:dPt>
            <c:idx val="6"/>
            <c:bubble3D val="0"/>
          </c:dPt>
          <c:dLbls>
            <c:dLbl>
              <c:idx val="2"/>
              <c:layout>
                <c:manualLayout>
                  <c:x val="0.0774758213589067"/>
                  <c:y val="0.04582628409838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771933372141721"/>
                  <c:y val="0.0086745813120109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645056527467141"/>
                  <c:y val="0.0045466143357467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121616266838241"/>
                  <c:y val="0.058210185027181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107307209166948"/>
                  <c:y val="0.10774578874235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50.57</c:v>
                </c:pt>
                <c:pt idx="1">
                  <c:v>0</c:v>
                </c:pt>
                <c:pt idx="2">
                  <c:v>0</c:v>
                </c:pt>
                <c:pt idx="3">
                  <c:v>0</c:v>
                </c:pt>
                <c:pt idx="4">
                  <c:v>0</c:v>
                </c:pt>
                <c:pt idx="5">
                  <c:v>0</c:v>
                </c:pt>
                <c:pt idx="6">
                  <c:v>0</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70597955411216"/>
          <c:y val="0.251093829989518"/>
          <c:w val="0.328125292477978"/>
          <c:h val="0.55641841212536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68720244325285"/>
          <c:y val="0.161542383503678"/>
          <c:w val="0.545452984021163"/>
          <c:h val="0.754473581287079"/>
        </c:manualLayout>
      </c:layout>
      <c:pie3DChart>
        <c:varyColors val="1"/>
        <c:ser>
          <c:idx val="0"/>
          <c:order val="0"/>
          <c:tx>
            <c:strRef>
              <c:f>Sheet1!$B$1</c:f>
              <c:strCache>
                <c:ptCount val="1"/>
                <c:pt idx="0">
                  <c:v>支出决算</c:v>
                </c:pt>
              </c:strCache>
            </c:strRef>
          </c:tx>
          <c:explosion val="0"/>
          <c:dPt>
            <c:idx val="0"/>
            <c:bubble3D val="0"/>
          </c:dPt>
          <c:dPt>
            <c:idx val="1"/>
            <c:bubble3D val="0"/>
          </c:dPt>
          <c:dPt>
            <c:idx val="2"/>
            <c:bubble3D val="0"/>
          </c:dPt>
          <c:dPt>
            <c:idx val="3"/>
            <c:bubble3D val="0"/>
          </c:dPt>
          <c:dPt>
            <c:idx val="4"/>
            <c:bubble3D val="0"/>
          </c:dPt>
          <c:dLbls>
            <c:dLbl>
              <c:idx val="1"/>
              <c:layout>
                <c:manualLayout>
                  <c:x val="0.0632923192293271"/>
                  <c:y val="-0.025879427610248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306970677745039"/>
                  <c:y val="0.043167700985312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37.78</c:v>
                </c:pt>
                <c:pt idx="1">
                  <c:v>5</c:v>
                </c:pt>
                <c:pt idx="2">
                  <c:v>0</c:v>
                </c:pt>
                <c:pt idx="3">
                  <c:v>0</c:v>
                </c:pt>
                <c:pt idx="4">
                  <c:v>0</c:v>
                </c:pt>
              </c:numCache>
            </c:numRef>
          </c:val>
        </c:ser>
        <c:ser>
          <c:idx val="1"/>
          <c:order val="1"/>
          <c:tx>
            <c:strRef>
              <c:f>Sheet1!$C$1</c:f>
              <c:strCache>
                <c:ptCount val="1"/>
                <c:pt idx="0">
                  <c:v>所占比例</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Sheet1!$C$2:$C$6</c:f>
              <c:numCache>
                <c:formatCode>0%</c:formatCode>
                <c:ptCount val="5"/>
                <c:pt idx="0">
                  <c:v>0.88</c:v>
                </c:pt>
                <c:pt idx="1">
                  <c:v>0.12</c:v>
                </c:pt>
                <c:pt idx="2" c:formatCode="General">
                  <c:v>0</c:v>
                </c:pt>
                <c:pt idx="3" c:formatCode="General">
                  <c:v>0</c:v>
                </c:pt>
                <c:pt idx="4" c:formatCode="General">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8937409024745"/>
          <c:y val="0.0587982832618026"/>
          <c:w val="0.773216885007278"/>
          <c:h val="0.676394849785408"/>
        </c:manualLayout>
      </c:layout>
      <c:barChart>
        <c:barDir val="col"/>
        <c:grouping val="clustered"/>
        <c:varyColors val="0"/>
        <c:ser>
          <c:idx val="0"/>
          <c:order val="0"/>
          <c:tx>
            <c:strRef>
              <c:f>Sheet1!$B$1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财政拨款收、支决算总计</c:v>
                </c:pt>
              </c:strCache>
            </c:strRef>
          </c:cat>
          <c:val>
            <c:numRef>
              <c:f>Sheet1!$B$2:$B$5</c:f>
              <c:numCache>
                <c:formatCode>General</c:formatCode>
                <c:ptCount val="4"/>
                <c:pt idx="0">
                  <c:v>42.78</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财政拨款收、支决算总计</c:v>
                </c:pt>
              </c:strCache>
            </c:strRef>
          </c:cat>
          <c:val>
            <c:numRef>
              <c:f>Sheet1!$C$2:$C$5</c:f>
              <c:numCache>
                <c:formatCode>General</c:formatCode>
                <c:ptCount val="4"/>
                <c:pt idx="0">
                  <c:v>50.47</c:v>
                </c:pt>
              </c:numCache>
            </c:numRef>
          </c:val>
        </c:ser>
        <c:dLbls>
          <c:showLegendKey val="0"/>
          <c:showVal val="1"/>
          <c:showCatName val="0"/>
          <c:showSerName val="0"/>
          <c:showPercent val="0"/>
          <c:showBubbleSize val="0"/>
        </c:dLbls>
        <c:gapWidth val="150"/>
        <c:axId val="247895552"/>
        <c:axId val="247897088"/>
      </c:barChart>
      <c:catAx>
        <c:axId val="247895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7897088"/>
        <c:crosses val="autoZero"/>
        <c:auto val="1"/>
        <c:lblAlgn val="ctr"/>
        <c:lblOffset val="100"/>
        <c:noMultiLvlLbl val="0"/>
      </c:catAx>
      <c:valAx>
        <c:axId val="2478970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78955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4224097559681"/>
          <c:y val="0.0458308346131656"/>
          <c:w val="0.676773075530267"/>
          <c:h val="0.816807651365568"/>
        </c:manualLayout>
      </c:layout>
      <c:barChart>
        <c:barDir val="col"/>
        <c:grouping val="clustered"/>
        <c:varyColors val="0"/>
        <c:ser>
          <c:idx val="0"/>
          <c:order val="0"/>
          <c:tx>
            <c:strRef>
              <c:f>Sheet1!$B$1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42.78</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50.47</c:v>
                </c:pt>
              </c:numCache>
            </c:numRef>
          </c:val>
        </c:ser>
        <c:dLbls>
          <c:showLegendKey val="0"/>
          <c:showVal val="1"/>
          <c:showCatName val="0"/>
          <c:showSerName val="0"/>
          <c:showPercent val="0"/>
          <c:showBubbleSize val="0"/>
        </c:dLbls>
        <c:gapWidth val="150"/>
        <c:axId val="248042240"/>
        <c:axId val="248043776"/>
      </c:barChart>
      <c:catAx>
        <c:axId val="2480422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8043776"/>
        <c:crosses val="autoZero"/>
        <c:auto val="1"/>
        <c:lblAlgn val="ctr"/>
        <c:lblOffset val="100"/>
        <c:noMultiLvlLbl val="0"/>
      </c:catAx>
      <c:valAx>
        <c:axId val="2480437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804224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c:v>
                </c:pt>
              </c:strCache>
            </c:strRef>
          </c:tx>
          <c:explosion val="25"/>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一般公共服务支出</c:v>
                </c:pt>
                <c:pt idx="1">
                  <c:v>社会保障和就业支出</c:v>
                </c:pt>
                <c:pt idx="2">
                  <c:v>医疗卫生支出</c:v>
                </c:pt>
                <c:pt idx="3">
                  <c:v>住房保障支出</c:v>
                </c:pt>
              </c:strCache>
            </c:strRef>
          </c:cat>
          <c:val>
            <c:numRef>
              <c:f>Sheet1!$B$2:$B$5</c:f>
              <c:numCache>
                <c:formatCode>General</c:formatCode>
                <c:ptCount val="4"/>
                <c:pt idx="0">
                  <c:v>42.44</c:v>
                </c:pt>
                <c:pt idx="1">
                  <c:v>3.41</c:v>
                </c:pt>
                <c:pt idx="2">
                  <c:v>1.79</c:v>
                </c:pt>
                <c:pt idx="3">
                  <c:v>2.82</c:v>
                </c:pt>
              </c:numCache>
            </c:numRef>
          </c:val>
        </c:ser>
        <c:ser>
          <c:idx val="1"/>
          <c:order val="1"/>
          <c:tx>
            <c:strRef>
              <c:f>Sheet1!$C$1</c:f>
              <c:strCache>
                <c:ptCount val="1"/>
                <c:pt idx="0">
                  <c:v>比例</c:v>
                </c:pt>
              </c:strCache>
            </c:strRef>
          </c:tx>
          <c:explosion val="25"/>
          <c:dPt>
            <c:idx val="0"/>
            <c:bubble3D val="0"/>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医疗卫生支出</c:v>
                </c:pt>
                <c:pt idx="3">
                  <c:v>住房保障支出</c:v>
                </c:pt>
              </c:strCache>
            </c:strRef>
          </c:cat>
          <c:val>
            <c:numRef>
              <c:f>Sheet1!$C$2:$C$5</c:f>
              <c:numCache>
                <c:formatCode>0%</c:formatCode>
                <c:ptCount val="4"/>
                <c:pt idx="0">
                  <c:v>0.84</c:v>
                </c:pt>
                <c:pt idx="1">
                  <c:v>0.07</c:v>
                </c:pt>
                <c:pt idx="2">
                  <c:v>0.03</c:v>
                </c:pt>
                <c:pt idx="3">
                  <c:v>0.06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85880640465793"/>
          <c:y val="0.432817337461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19</Pages>
  <Words>4975</Words>
  <Characters>5299</Characters>
  <Lines>4</Lines>
  <Paragraphs>11</Paragraphs>
  <TotalTime>8</TotalTime>
  <ScaleCrop>false</ScaleCrop>
  <LinksUpToDate>false</LinksUpToDate>
  <CharactersWithSpaces>5322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宋庆庆</cp:lastModifiedBy>
  <cp:lastPrinted>2023-08-03T02:35:00Z</cp:lastPrinted>
  <dcterms:modified xsi:type="dcterms:W3CDTF">2024-12-03T05:46:42Z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AD192947A9304E9FBC68015A0C085BED_12</vt:lpwstr>
  </property>
</Properties>
</file>