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7425"/>
      <w:bookmarkStart w:id="3" w:name="_Toc15378441"/>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06268"/>
      <w:bookmarkStart w:id="8" w:name="_Toc15396598"/>
      <w:bookmarkStart w:id="9" w:name="_Toc15377426"/>
      <w:bookmarkStart w:id="10" w:name="_Toc15378442"/>
      <w:bookmarkStart w:id="11" w:name="_Toc15377194"/>
      <w:r>
        <w:rPr>
          <w:rFonts w:hint="eastAsia" w:ascii="方正小标宋简体" w:hAnsi="方正小标宋简体" w:eastAsia="方正小标宋简体" w:cs="方正小标宋简体"/>
          <w:sz w:val="72"/>
          <w:szCs w:val="72"/>
        </w:rPr>
        <w:t>中共巴中市巴州区委</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机构编制委员会办公室</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pStyle w:val="2"/>
        <w:spacing w:before="93"/>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3</w:t>
      </w:r>
      <w:r>
        <w:rPr>
          <w:rFonts w:hint="eastAsia"/>
        </w:rPr>
        <w:t>年11月10日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一、部门职责</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w:t>
      </w:r>
      <w:r>
        <w:rPr>
          <w:rFonts w:hint="eastAsia"/>
          <w:sz w:val="24"/>
          <w:lang w:val="en-US" w:eastAsia="zh-CN"/>
        </w:rPr>
        <w:t>3</w:t>
      </w:r>
      <w:r>
        <w:rPr>
          <w:rFonts w:hint="eastAsia"/>
          <w:sz w:val="24"/>
        </w:rPr>
        <w:t>年度部门决算情况说明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pageBreakBefore w:val="0"/>
        <w:widowControl w:val="0"/>
        <w:kinsoku/>
        <w:wordWrap/>
        <w:overflowPunct/>
        <w:topLinePunct w:val="0"/>
        <w:autoSpaceDE/>
        <w:autoSpaceDN/>
        <w:bidi w:val="0"/>
        <w:adjustRightInd/>
        <w:spacing w:line="560" w:lineRule="exact"/>
        <w:jc w:val="center"/>
        <w:textAlignment w:val="auto"/>
        <w:rPr>
          <w:rFonts w:ascii="黑体" w:eastAsia="黑体"/>
          <w:sz w:val="32"/>
          <w:szCs w:val="32"/>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4"/>
        <w:pageBreakBefore w:val="0"/>
        <w:widowControl w:val="0"/>
        <w:kinsoku/>
        <w:wordWrap/>
        <w:overflowPunct/>
        <w:topLinePunct w:val="0"/>
        <w:autoSpaceDE/>
        <w:autoSpaceDN/>
        <w:bidi w:val="0"/>
        <w:adjustRightInd/>
        <w:spacing w:line="560" w:lineRule="exact"/>
        <w:textAlignment w:val="auto"/>
        <w:rPr>
          <w:rStyle w:val="27"/>
          <w:rFonts w:ascii="仿宋" w:hAnsi="仿宋" w:eastAsia="仿宋"/>
          <w:b w:val="0"/>
          <w:bCs w:val="0"/>
        </w:rPr>
      </w:pPr>
      <w:bookmarkStart w:id="14" w:name="_Toc15377197"/>
      <w:bookmarkStart w:id="15" w:name="_Toc15396600"/>
      <w:r>
        <w:rPr>
          <w:rFonts w:hint="eastAsia" w:ascii="黑体" w:hAnsi="黑体" w:eastAsia="黑体"/>
          <w:b w:val="0"/>
        </w:rPr>
        <w:t>一、</w:t>
      </w:r>
      <w:bookmarkEnd w:id="14"/>
      <w:bookmarkEnd w:id="15"/>
      <w:r>
        <w:rPr>
          <w:rFonts w:hint="eastAsia" w:ascii="黑体" w:hAnsi="黑体" w:eastAsia="黑体"/>
          <w:b w:val="0"/>
        </w:rPr>
        <w:t>部门职责</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（1）贯彻执行中央、省、市关于行政管理体制改革和机构改革、事业单位改革及机构编制管理的方针政策、法律法规规章，拟订全区机构编制规范性文件并监督实施。</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研究拟订全区行政管理体制改革和机构改革方案，审核各乡（镇、街道）、区直各部门“三定”规定，指导各乡镇、区直各部门行政管理体制改革和机构改革，评估改革效果、参与行政审批制度改革和行政区划调整的有关工作。</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拟订全区各级行政编制、政法专项编制总额分配方案，审核同一层级调整行政编制事项，提出全区行政事业编制总量控制和动态调整方案、负责全区机关事业单位机构编制实名制管理工作、对全区机关事业单位使用空缺编制补充人员进行核批、指导乡（镇、街道）、区级各部门机构编制工作。</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负责区委、区政府各部门，区人大、区政协机关，区法院、区检察院机关，各民主党派、区人民团体机关以及乡（镇、街道）的机构编制管理工作、协调区直各部门之间及区直各部门与乡（镇、街道）之间的职责分工。</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研究拟订全区事业单位改革方案和事业单位改革方案及实施意见，负责全区事业单位机构编制管理，审核全区各事业单位的机构编制方案，负责参照《公务员法》管理事业单位职责的审核工作，审核乡（镇、街道）、区直事业单位及部门直属事业单位改革总体方案，指导、协调各乡（镇、街道）事业单位改革和机构编制管理工作。</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（6）监督检查全区行政管理体制改革和机构改革方案及机构编制规定执行情况，建立机构编制工作考核评估制度，会同有关部门查处机构编制违法违纪行为。</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（7）负责全区事业单位登记管理工作。</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（8）承办区委、区政府和区委编委交办的其他工作。</w:t>
      </w:r>
    </w:p>
    <w:p>
      <w:pPr>
        <w:pStyle w:val="4"/>
        <w:pageBreakBefore w:val="0"/>
        <w:widowControl w:val="0"/>
        <w:kinsoku/>
        <w:wordWrap/>
        <w:overflowPunct/>
        <w:topLinePunct w:val="0"/>
        <w:autoSpaceDE/>
        <w:autoSpaceDN/>
        <w:bidi w:val="0"/>
        <w:adjustRightInd/>
        <w:spacing w:line="560" w:lineRule="exact"/>
        <w:textAlignment w:val="auto"/>
        <w:rPr>
          <w:rStyle w:val="27"/>
          <w:rFonts w:ascii="黑体" w:hAnsi="黑体" w:eastAsia="黑体"/>
          <w:b w:val="0"/>
          <w:bCs w:val="0"/>
        </w:rPr>
      </w:pPr>
      <w:bookmarkStart w:id="16" w:name="_Toc15377200"/>
      <w:bookmarkStart w:id="17" w:name="_Toc15396601"/>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16"/>
      <w:bookmarkEnd w:id="17"/>
    </w:p>
    <w:p>
      <w:pPr>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区委编办内设综合股、机构编制股、监督检查股（政策法规股）、机构编制实名制股，下属二级单位3个，其中，参照公务员法管理的事业单位1个，其他事业单位2个。</w:t>
      </w:r>
    </w:p>
    <w:p>
      <w:pPr>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kern w:val="0"/>
          <w:sz w:val="32"/>
          <w:szCs w:val="32"/>
        </w:rPr>
      </w:pPr>
      <w:r>
        <w:rPr>
          <w:rFonts w:hint="eastAsia" w:ascii="方正仿宋_GBK" w:hAnsi="方正仿宋_GBK" w:eastAsia="方正仿宋_GBK" w:cs="方正仿宋_GBK"/>
          <w:kern w:val="0"/>
          <w:sz w:val="32"/>
          <w:szCs w:val="32"/>
        </w:rPr>
        <w:t>以上二级单位没有纳入区委编办202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年度部门决算编制范围的二级预算单位（统一核算）。</w:t>
      </w:r>
      <w:r>
        <w:rPr>
          <w:rFonts w:ascii="仿宋" w:hAnsi="仿宋" w:eastAsia="仿宋"/>
          <w:sz w:val="32"/>
          <w:szCs w:val="32"/>
        </w:rPr>
        <w:br w:type="page"/>
      </w:r>
    </w:p>
    <w:p>
      <w:pPr>
        <w:pStyle w:val="3"/>
        <w:ind w:right="440"/>
        <w:jc w:val="center"/>
        <w:rPr>
          <w:rStyle w:val="26"/>
          <w:rFonts w:ascii="黑体" w:hAnsi="黑体" w:eastAsia="黑体"/>
          <w:b w:val="0"/>
          <w:bCs/>
        </w:rPr>
      </w:pPr>
      <w:bookmarkStart w:id="18" w:name="_Toc15377204"/>
      <w:bookmarkStart w:id="19" w:name="_Toc15396602"/>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6"/>
          <w:rFonts w:hint="eastAsia" w:ascii="黑体" w:hAnsi="黑体" w:eastAsia="黑体"/>
          <w:b w:val="0"/>
          <w:bCs/>
        </w:rPr>
        <w:t>部门决算情况说明</w:t>
      </w:r>
      <w:bookmarkEnd w:id="18"/>
      <w:bookmarkEnd w:id="19"/>
    </w:p>
    <w:p/>
    <w:p>
      <w:pPr>
        <w:pStyle w:val="25"/>
        <w:numPr>
          <w:ilvl w:val="0"/>
          <w:numId w:val="1"/>
        </w:numPr>
        <w:spacing w:line="600" w:lineRule="exact"/>
        <w:ind w:firstLineChars="0"/>
        <w:outlineLvl w:val="1"/>
        <w:rPr>
          <w:rStyle w:val="27"/>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239.08</w:t>
      </w:r>
      <w:r>
        <w:rPr>
          <w:rFonts w:hint="eastAsia" w:ascii="仿宋" w:hAnsi="仿宋" w:eastAsia="仿宋"/>
          <w:sz w:val="32"/>
          <w:szCs w:val="32"/>
        </w:rPr>
        <w:t>元。与</w:t>
      </w:r>
      <w:bookmarkStart w:id="69" w:name="_GoBack"/>
      <w:r>
        <w:rPr>
          <w:rFonts w:hint="eastAsia" w:ascii="仿宋" w:hAnsi="仿宋" w:eastAsia="仿宋"/>
          <w:sz w:val="32"/>
          <w:szCs w:val="32"/>
        </w:rPr>
        <w:t>202</w:t>
      </w:r>
      <w:r>
        <w:rPr>
          <w:rFonts w:hint="eastAsia" w:ascii="仿宋" w:hAnsi="仿宋" w:eastAsia="仿宋"/>
          <w:sz w:val="32"/>
          <w:szCs w:val="32"/>
          <w:lang w:val="en-US" w:eastAsia="zh-CN"/>
        </w:rPr>
        <w:t>2</w:t>
      </w:r>
      <w:bookmarkEnd w:id="69"/>
      <w:r>
        <w:rPr>
          <w:rFonts w:hint="eastAsia" w:ascii="仿宋" w:hAnsi="仿宋" w:eastAsia="仿宋"/>
          <w:sz w:val="32"/>
          <w:szCs w:val="32"/>
        </w:rPr>
        <w:t>年收入283.53万万元相比，收、支总计</w:t>
      </w:r>
      <w:r>
        <w:rPr>
          <w:rFonts w:hint="eastAsia" w:ascii="仿宋" w:hAnsi="仿宋" w:eastAsia="仿宋"/>
          <w:sz w:val="32"/>
          <w:szCs w:val="32"/>
          <w:lang w:eastAsia="zh-CN"/>
        </w:rPr>
        <w:t>减少</w:t>
      </w:r>
      <w:r>
        <w:rPr>
          <w:rFonts w:hint="eastAsia" w:ascii="仿宋" w:hAnsi="仿宋" w:eastAsia="仿宋"/>
          <w:sz w:val="32"/>
          <w:szCs w:val="32"/>
          <w:lang w:val="en-US" w:eastAsia="zh-CN"/>
        </w:rPr>
        <w:t>44.45</w:t>
      </w:r>
      <w:r>
        <w:rPr>
          <w:rFonts w:hint="eastAsia" w:ascii="仿宋" w:hAnsi="仿宋" w:eastAsia="仿宋"/>
          <w:sz w:val="32"/>
          <w:szCs w:val="32"/>
        </w:rPr>
        <w:t>万，</w:t>
      </w:r>
      <w:r>
        <w:rPr>
          <w:rFonts w:hint="eastAsia" w:ascii="仿宋" w:hAnsi="仿宋" w:eastAsia="仿宋"/>
          <w:sz w:val="32"/>
          <w:szCs w:val="32"/>
          <w:lang w:eastAsia="zh-CN"/>
        </w:rPr>
        <w:t>减少</w:t>
      </w:r>
      <w:r>
        <w:rPr>
          <w:rFonts w:hint="eastAsia" w:ascii="仿宋" w:hAnsi="仿宋" w:eastAsia="仿宋"/>
          <w:sz w:val="32"/>
          <w:szCs w:val="32"/>
          <w:lang w:val="en-US" w:eastAsia="zh-CN"/>
        </w:rPr>
        <w:t>15.68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一是</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1人，二是2023年度</w:t>
      </w:r>
      <w:r>
        <w:rPr>
          <w:rFonts w:hint="eastAsia" w:ascii="仿宋" w:hAnsi="仿宋" w:eastAsia="仿宋"/>
          <w:sz w:val="32"/>
          <w:szCs w:val="32"/>
          <w:lang w:eastAsia="zh-CN"/>
        </w:rPr>
        <w:t>部分</w:t>
      </w:r>
      <w:r>
        <w:rPr>
          <w:rFonts w:hint="eastAsia" w:ascii="仿宋" w:hAnsi="仿宋" w:eastAsia="仿宋"/>
          <w:sz w:val="32"/>
          <w:szCs w:val="32"/>
        </w:rPr>
        <w:t>基础性绩效和奖励性绩效</w:t>
      </w:r>
      <w:r>
        <w:rPr>
          <w:rFonts w:hint="eastAsia" w:ascii="仿宋" w:hAnsi="仿宋" w:eastAsia="仿宋"/>
          <w:sz w:val="32"/>
          <w:szCs w:val="32"/>
          <w:lang w:eastAsia="zh-CN"/>
        </w:rPr>
        <w:t>等人员经费纳入</w:t>
      </w:r>
      <w:r>
        <w:rPr>
          <w:rFonts w:hint="eastAsia" w:ascii="仿宋" w:hAnsi="仿宋" w:eastAsia="仿宋"/>
          <w:sz w:val="32"/>
          <w:szCs w:val="32"/>
          <w:lang w:val="en-US" w:eastAsia="zh-CN"/>
        </w:rPr>
        <w:t>2024年发放</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ind w:firstLine="6400" w:firstLineChars="2000"/>
      </w:pPr>
      <w:r>
        <w:rPr>
          <w:rFonts w:hint="eastAsia" w:ascii="仿宋" w:hAnsi="仿宋" w:eastAsia="仿宋"/>
          <w:sz w:val="32"/>
          <w:szCs w:val="32"/>
        </w:rPr>
        <w:t>单位：（万元）</w:t>
      </w:r>
    </w:p>
    <w:p>
      <w:pPr>
        <w:pStyle w:val="2"/>
        <w:spacing w:before="93"/>
        <w:jc w:val="center"/>
      </w:pPr>
      <w:r>
        <w:rPr>
          <w:rFonts w:hint="eastAsia"/>
        </w:rPr>
        <w:drawing>
          <wp:inline distT="0" distB="0" distL="114300" distR="114300">
            <wp:extent cx="4861560" cy="2677795"/>
            <wp:effectExtent l="4445" t="4445" r="10795" b="228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22" w:name="_Toc15377206"/>
      <w:bookmarkStart w:id="23" w:name="_Toc15396604"/>
      <w:r>
        <w:rPr>
          <w:rFonts w:hint="eastAsia" w:ascii="黑体" w:hAnsi="黑体" w:eastAsia="黑体"/>
          <w:sz w:val="32"/>
          <w:szCs w:val="32"/>
        </w:rPr>
        <w:t>收</w:t>
      </w:r>
      <w:r>
        <w:rPr>
          <w:rStyle w:val="27"/>
          <w:rFonts w:hint="eastAsia" w:ascii="黑体" w:hAnsi="黑体" w:eastAsia="黑体"/>
          <w:b w:val="0"/>
        </w:rPr>
        <w:t>入决算情况说明</w:t>
      </w:r>
      <w:bookmarkEnd w:id="22"/>
      <w:bookmarkEnd w:id="23"/>
    </w:p>
    <w:p>
      <w:pPr>
        <w:spacing w:line="600" w:lineRule="exact"/>
        <w:ind w:firstLine="640" w:firstLineChars="200"/>
        <w:outlineLvl w:val="1"/>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239.08</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239.08</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；政府性基金预算财政拨款收入0万元，占0%；上级补助收入0万元，占0%；事业收入0万元，占0%；经营收入0万元，占0%；附属单位上缴收入0万元，占0%；其他收入0万元，占0%；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 单位：万元</w:t>
      </w:r>
    </w:p>
    <w:p>
      <w:pPr>
        <w:pStyle w:val="2"/>
        <w:spacing w:before="93"/>
        <w:jc w:val="center"/>
      </w:pPr>
      <w:r>
        <w:rPr>
          <w:rFonts w:hint="eastAsia"/>
        </w:rPr>
        <w:drawing>
          <wp:inline distT="0" distB="0" distL="114300" distR="114300">
            <wp:extent cx="4870450" cy="3192145"/>
            <wp:effectExtent l="4445" t="5080" r="20955" b="222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24" w:name="_Toc15377207"/>
      <w:bookmarkStart w:id="25" w:name="_Toc15396605"/>
      <w:r>
        <w:rPr>
          <w:rFonts w:hint="eastAsia" w:ascii="黑体" w:hAnsi="黑体" w:eastAsia="黑体"/>
          <w:sz w:val="32"/>
          <w:szCs w:val="32"/>
        </w:rPr>
        <w:t>支</w:t>
      </w:r>
      <w:r>
        <w:rPr>
          <w:rStyle w:val="27"/>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239.08</w:t>
      </w:r>
      <w:r>
        <w:rPr>
          <w:rFonts w:hint="eastAsia" w:ascii="仿宋" w:hAnsi="仿宋" w:eastAsia="仿宋"/>
          <w:sz w:val="32"/>
          <w:szCs w:val="32"/>
        </w:rPr>
        <w:t>万元，其中：基本支出</w:t>
      </w:r>
      <w:r>
        <w:rPr>
          <w:rFonts w:hint="eastAsia" w:ascii="仿宋" w:hAnsi="仿宋" w:eastAsia="仿宋"/>
          <w:sz w:val="32"/>
          <w:szCs w:val="32"/>
          <w:lang w:val="en-US" w:eastAsia="zh-CN"/>
        </w:rPr>
        <w:t>219.08</w:t>
      </w:r>
      <w:r>
        <w:rPr>
          <w:rFonts w:hint="eastAsia" w:ascii="仿宋" w:hAnsi="仿宋" w:eastAsia="仿宋"/>
          <w:sz w:val="32"/>
          <w:szCs w:val="32"/>
        </w:rPr>
        <w:t>万元，占</w:t>
      </w:r>
      <w:r>
        <w:rPr>
          <w:rFonts w:hint="eastAsia" w:ascii="仿宋" w:hAnsi="仿宋" w:eastAsia="仿宋"/>
          <w:sz w:val="32"/>
          <w:szCs w:val="32"/>
          <w:lang w:val="en-US" w:eastAsia="zh-CN"/>
        </w:rPr>
        <w:t>91.63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20</w:t>
      </w:r>
      <w:r>
        <w:rPr>
          <w:rFonts w:hint="eastAsia" w:ascii="仿宋" w:hAnsi="仿宋" w:eastAsia="仿宋"/>
          <w:sz w:val="32"/>
          <w:szCs w:val="32"/>
        </w:rPr>
        <w:t>万元，占</w:t>
      </w:r>
      <w:r>
        <w:rPr>
          <w:rFonts w:hint="eastAsia" w:ascii="仿宋" w:hAnsi="仿宋" w:eastAsia="仿宋"/>
          <w:sz w:val="32"/>
          <w:szCs w:val="32"/>
          <w:lang w:val="en-US" w:eastAsia="zh-CN"/>
        </w:rPr>
        <w:t>8.37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（图3：支出决算结构图）（饼状图） </w:t>
      </w:r>
    </w:p>
    <w:p>
      <w:pPr>
        <w:pStyle w:val="2"/>
        <w:spacing w:before="93"/>
        <w:jc w:val="center"/>
      </w:pPr>
      <w:r>
        <w:rPr>
          <w:rFonts w:hint="eastAsia"/>
        </w:rPr>
        <w:drawing>
          <wp:inline distT="0" distB="0" distL="114300" distR="114300">
            <wp:extent cx="4895850" cy="1685925"/>
            <wp:effectExtent l="19050" t="0" r="19026" b="9154"/>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黑体" w:hAnsi="黑体" w:eastAsia="黑体"/>
          <w:b w:val="0"/>
        </w:rPr>
      </w:pPr>
      <w:bookmarkStart w:id="26" w:name="_Toc15377208"/>
      <w:bookmarkStart w:id="27"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w:t>
      </w:r>
      <w:r>
        <w:rPr>
          <w:rFonts w:hint="eastAsia" w:ascii="仿宋" w:hAnsi="仿宋" w:eastAsia="仿宋"/>
          <w:sz w:val="32"/>
          <w:szCs w:val="32"/>
          <w:lang w:val="en-US" w:eastAsia="zh-CN"/>
        </w:rPr>
        <w:t>239.08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年收、支283.53万元相比，收、支总计</w:t>
      </w:r>
      <w:r>
        <w:rPr>
          <w:rFonts w:hint="eastAsia" w:ascii="仿宋" w:hAnsi="仿宋" w:eastAsia="仿宋"/>
          <w:sz w:val="32"/>
          <w:szCs w:val="32"/>
          <w:lang w:eastAsia="zh-CN"/>
        </w:rPr>
        <w:t>减少</w:t>
      </w:r>
      <w:r>
        <w:rPr>
          <w:rFonts w:hint="eastAsia" w:ascii="仿宋" w:hAnsi="仿宋" w:eastAsia="仿宋"/>
          <w:sz w:val="32"/>
          <w:szCs w:val="32"/>
          <w:lang w:val="en-US" w:eastAsia="zh-CN"/>
        </w:rPr>
        <w:t>44.45</w:t>
      </w:r>
      <w:r>
        <w:rPr>
          <w:rFonts w:hint="eastAsia" w:ascii="仿宋" w:hAnsi="仿宋" w:eastAsia="仿宋"/>
          <w:sz w:val="32"/>
          <w:szCs w:val="32"/>
        </w:rPr>
        <w:t>万，</w:t>
      </w:r>
      <w:r>
        <w:rPr>
          <w:rFonts w:hint="eastAsia" w:ascii="仿宋" w:hAnsi="仿宋" w:eastAsia="仿宋"/>
          <w:sz w:val="32"/>
          <w:szCs w:val="32"/>
          <w:lang w:eastAsia="zh-CN"/>
        </w:rPr>
        <w:t>减少</w:t>
      </w:r>
      <w:r>
        <w:rPr>
          <w:rFonts w:hint="eastAsia" w:ascii="仿宋" w:hAnsi="仿宋" w:eastAsia="仿宋"/>
          <w:sz w:val="32"/>
          <w:szCs w:val="32"/>
          <w:lang w:val="en-US" w:eastAsia="zh-CN"/>
        </w:rPr>
        <w:t>15.68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一是</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1人，二是2023年度</w:t>
      </w:r>
      <w:r>
        <w:rPr>
          <w:rFonts w:hint="eastAsia" w:ascii="仿宋" w:hAnsi="仿宋" w:eastAsia="仿宋"/>
          <w:sz w:val="32"/>
          <w:szCs w:val="32"/>
          <w:lang w:eastAsia="zh-CN"/>
        </w:rPr>
        <w:t>部分</w:t>
      </w:r>
      <w:r>
        <w:rPr>
          <w:rFonts w:hint="eastAsia" w:ascii="仿宋" w:hAnsi="仿宋" w:eastAsia="仿宋"/>
          <w:sz w:val="32"/>
          <w:szCs w:val="32"/>
        </w:rPr>
        <w:t>基础性绩效和奖励性绩效</w:t>
      </w:r>
      <w:r>
        <w:rPr>
          <w:rFonts w:hint="eastAsia" w:ascii="仿宋" w:hAnsi="仿宋" w:eastAsia="仿宋"/>
          <w:sz w:val="32"/>
          <w:szCs w:val="32"/>
          <w:lang w:eastAsia="zh-CN"/>
        </w:rPr>
        <w:t>等人员经费纳入</w:t>
      </w:r>
      <w:r>
        <w:rPr>
          <w:rFonts w:hint="eastAsia" w:ascii="仿宋" w:hAnsi="仿宋" w:eastAsia="仿宋"/>
          <w:sz w:val="32"/>
          <w:szCs w:val="32"/>
          <w:lang w:val="en-US" w:eastAsia="zh-CN"/>
        </w:rPr>
        <w:t>2024年发放</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ind w:firstLine="6720" w:firstLineChars="2100"/>
        <w:rPr>
          <w:rFonts w:ascii="仿宋" w:hAnsi="仿宋" w:eastAsia="仿宋"/>
          <w:sz w:val="32"/>
          <w:szCs w:val="32"/>
        </w:rPr>
      </w:pPr>
      <w:r>
        <w:rPr>
          <w:rFonts w:hint="eastAsia" w:ascii="仿宋" w:hAnsi="仿宋" w:eastAsia="仿宋"/>
          <w:sz w:val="32"/>
          <w:szCs w:val="32"/>
        </w:rPr>
        <w:t>单位：万元</w:t>
      </w:r>
    </w:p>
    <w:p>
      <w:pPr>
        <w:pStyle w:val="2"/>
        <w:spacing w:before="93"/>
        <w:jc w:val="center"/>
        <w:rPr>
          <w:rFonts w:ascii="仿宋" w:hAnsi="仿宋" w:eastAsia="仿宋"/>
          <w:b/>
          <w:sz w:val="32"/>
          <w:szCs w:val="32"/>
        </w:rPr>
      </w:pPr>
      <w:r>
        <w:rPr>
          <w:rFonts w:hint="eastAsia"/>
        </w:rPr>
        <w:drawing>
          <wp:inline distT="0" distB="0" distL="114300" distR="114300">
            <wp:extent cx="4852035" cy="2791460"/>
            <wp:effectExtent l="4445" t="4445" r="20320" b="2349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239.08</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283.53</w:t>
      </w:r>
      <w:r>
        <w:rPr>
          <w:rFonts w:hint="eastAsia" w:ascii="仿宋" w:hAnsi="仿宋" w:eastAsia="仿宋"/>
          <w:sz w:val="32"/>
          <w:szCs w:val="32"/>
        </w:rPr>
        <w:t>万元相比，一般公共预算财政拨款支出</w:t>
      </w:r>
      <w:r>
        <w:rPr>
          <w:rFonts w:hint="eastAsia" w:ascii="仿宋" w:hAnsi="仿宋" w:eastAsia="仿宋"/>
          <w:sz w:val="32"/>
          <w:szCs w:val="32"/>
          <w:lang w:eastAsia="zh-CN"/>
        </w:rPr>
        <w:t>减少</w:t>
      </w:r>
      <w:r>
        <w:rPr>
          <w:rFonts w:hint="eastAsia" w:ascii="仿宋" w:hAnsi="仿宋" w:eastAsia="仿宋"/>
          <w:sz w:val="32"/>
          <w:szCs w:val="32"/>
          <w:lang w:val="en-US" w:eastAsia="zh-CN"/>
        </w:rPr>
        <w:t>44.45</w:t>
      </w:r>
      <w:r>
        <w:rPr>
          <w:rFonts w:hint="eastAsia" w:ascii="仿宋" w:hAnsi="仿宋" w:eastAsia="仿宋"/>
          <w:sz w:val="32"/>
          <w:szCs w:val="32"/>
        </w:rPr>
        <w:t>万，</w:t>
      </w:r>
      <w:r>
        <w:rPr>
          <w:rFonts w:hint="eastAsia" w:ascii="仿宋" w:hAnsi="仿宋" w:eastAsia="仿宋"/>
          <w:sz w:val="32"/>
          <w:szCs w:val="32"/>
          <w:lang w:eastAsia="zh-CN"/>
        </w:rPr>
        <w:t>减少</w:t>
      </w:r>
      <w:r>
        <w:rPr>
          <w:rFonts w:hint="eastAsia" w:ascii="仿宋" w:hAnsi="仿宋" w:eastAsia="仿宋"/>
          <w:sz w:val="32"/>
          <w:szCs w:val="32"/>
          <w:lang w:val="en-US" w:eastAsia="zh-CN"/>
        </w:rPr>
        <w:t>15.68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一是</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1人，二是2023年度</w:t>
      </w:r>
      <w:r>
        <w:rPr>
          <w:rFonts w:hint="eastAsia" w:ascii="仿宋" w:hAnsi="仿宋" w:eastAsia="仿宋"/>
          <w:sz w:val="32"/>
          <w:szCs w:val="32"/>
          <w:lang w:eastAsia="zh-CN"/>
        </w:rPr>
        <w:t>部分</w:t>
      </w:r>
      <w:r>
        <w:rPr>
          <w:rFonts w:hint="eastAsia" w:ascii="仿宋" w:hAnsi="仿宋" w:eastAsia="仿宋"/>
          <w:sz w:val="32"/>
          <w:szCs w:val="32"/>
        </w:rPr>
        <w:t>基础性绩效和奖励性绩效</w:t>
      </w:r>
      <w:r>
        <w:rPr>
          <w:rFonts w:hint="eastAsia" w:ascii="仿宋" w:hAnsi="仿宋" w:eastAsia="仿宋"/>
          <w:sz w:val="32"/>
          <w:szCs w:val="32"/>
          <w:lang w:eastAsia="zh-CN"/>
        </w:rPr>
        <w:t>等人员经费纳入</w:t>
      </w:r>
      <w:r>
        <w:rPr>
          <w:rFonts w:hint="eastAsia" w:ascii="仿宋" w:hAnsi="仿宋" w:eastAsia="仿宋"/>
          <w:sz w:val="32"/>
          <w:szCs w:val="32"/>
          <w:lang w:val="en-US" w:eastAsia="zh-CN"/>
        </w:rPr>
        <w:t>2024年发放</w:t>
      </w:r>
      <w:r>
        <w:rPr>
          <w:rFonts w:hint="eastAsia" w:ascii="仿宋" w:hAnsi="仿宋" w:eastAsia="仿宋"/>
          <w:sz w:val="32"/>
          <w:szCs w:val="32"/>
        </w:rPr>
        <w:t>。</w:t>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                                   单位：万元</w:t>
      </w:r>
    </w:p>
    <w:p>
      <w:pPr>
        <w:pStyle w:val="2"/>
        <w:spacing w:before="93"/>
        <w:jc w:val="center"/>
        <w:rPr>
          <w:rFonts w:ascii="仿宋" w:hAnsi="仿宋" w:eastAsia="仿宋"/>
          <w:sz w:val="32"/>
          <w:szCs w:val="32"/>
        </w:rPr>
      </w:pPr>
      <w:r>
        <w:rPr>
          <w:rFonts w:hint="eastAsia" w:eastAsia="仿宋"/>
        </w:rPr>
        <w:drawing>
          <wp:inline distT="0" distB="0" distL="114300" distR="114300">
            <wp:extent cx="4765675" cy="3048000"/>
            <wp:effectExtent l="4445" t="4445" r="11430"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239.08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193.21</w:t>
      </w:r>
      <w:r>
        <w:rPr>
          <w:rFonts w:hint="eastAsia" w:ascii="仿宋" w:hAnsi="仿宋" w:eastAsia="仿宋"/>
          <w:sz w:val="32"/>
          <w:szCs w:val="32"/>
        </w:rPr>
        <w:t>万元，占</w:t>
      </w:r>
      <w:r>
        <w:rPr>
          <w:rFonts w:hint="eastAsia" w:ascii="仿宋" w:hAnsi="仿宋" w:eastAsia="仿宋"/>
          <w:sz w:val="32"/>
          <w:szCs w:val="32"/>
          <w:lang w:val="en-US" w:eastAsia="zh-CN"/>
        </w:rPr>
        <w:t>80.81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20.05</w:t>
      </w:r>
      <w:r>
        <w:rPr>
          <w:rFonts w:hint="eastAsia" w:ascii="仿宋" w:hAnsi="仿宋" w:eastAsia="仿宋"/>
          <w:sz w:val="32"/>
          <w:szCs w:val="32"/>
        </w:rPr>
        <w:t>万元，占</w:t>
      </w:r>
      <w:r>
        <w:rPr>
          <w:rFonts w:hint="eastAsia" w:ascii="仿宋" w:hAnsi="仿宋" w:eastAsia="仿宋"/>
          <w:sz w:val="32"/>
          <w:szCs w:val="32"/>
          <w:lang w:val="en-US" w:eastAsia="zh-CN"/>
        </w:rPr>
        <w:t>8.39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sz w:val="32"/>
          <w:szCs w:val="32"/>
        </w:rPr>
        <w:t>（类）</w:t>
      </w:r>
      <w:r>
        <w:rPr>
          <w:rFonts w:hint="eastAsia" w:ascii="仿宋" w:hAnsi="仿宋" w:eastAsia="仿宋"/>
          <w:sz w:val="32"/>
          <w:szCs w:val="32"/>
          <w:lang w:val="en-US" w:eastAsia="zh-CN"/>
        </w:rPr>
        <w:t>9.49</w:t>
      </w:r>
      <w:r>
        <w:rPr>
          <w:rFonts w:hint="eastAsia" w:ascii="仿宋" w:hAnsi="仿宋" w:eastAsia="仿宋"/>
          <w:sz w:val="32"/>
          <w:szCs w:val="32"/>
        </w:rPr>
        <w:t>万元，占</w:t>
      </w:r>
      <w:r>
        <w:rPr>
          <w:rFonts w:hint="eastAsia" w:ascii="仿宋" w:hAnsi="仿宋" w:eastAsia="仿宋"/>
          <w:sz w:val="32"/>
          <w:szCs w:val="32"/>
          <w:lang w:val="en-US" w:eastAsia="zh-CN"/>
        </w:rPr>
        <w:t>3.97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16.33</w:t>
      </w:r>
      <w:r>
        <w:rPr>
          <w:rFonts w:hint="eastAsia" w:ascii="仿宋" w:hAnsi="仿宋" w:eastAsia="仿宋"/>
          <w:sz w:val="32"/>
          <w:szCs w:val="32"/>
        </w:rPr>
        <w:t>万元，占6.83</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jc w:val="center"/>
        <w:rPr>
          <w:rFonts w:ascii="仿宋" w:hAnsi="仿宋" w:eastAsia="仿宋"/>
          <w:sz w:val="32"/>
          <w:szCs w:val="32"/>
        </w:rPr>
      </w:pPr>
      <w:r>
        <w:rPr>
          <w:rFonts w:hint="eastAsia" w:eastAsia="仿宋"/>
        </w:rPr>
        <w:drawing>
          <wp:inline distT="0" distB="0" distL="114300" distR="114300">
            <wp:extent cx="4769485" cy="1895475"/>
            <wp:effectExtent l="19050" t="0" r="11669" b="9393"/>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2" w:firstLineChars="200"/>
        <w:outlineLvl w:val="2"/>
        <w:rPr>
          <w:rFonts w:ascii="仿宋" w:hAnsi="仿宋" w:eastAsia="仿宋"/>
          <w:sz w:val="32"/>
          <w:szCs w:val="32"/>
        </w:rPr>
      </w:pPr>
      <w:bookmarkStart w:id="33" w:name="_Toc15377213"/>
      <w:bookmarkStart w:id="34" w:name="_Toc15377444"/>
      <w:bookmarkStart w:id="35" w:name="_Toc15378460"/>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239.08</w:t>
      </w:r>
      <w:r>
        <w:rPr>
          <w:rFonts w:hint="eastAsia" w:ascii="仿宋" w:hAnsi="仿宋" w:eastAsia="仿宋"/>
          <w:b/>
          <w:sz w:val="32"/>
          <w:szCs w:val="32"/>
        </w:rPr>
        <w:t>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3"/>
      <w:bookmarkEnd w:id="34"/>
      <w:bookmarkEnd w:id="35"/>
    </w:p>
    <w:p>
      <w:pPr>
        <w:numPr>
          <w:ilvl w:val="0"/>
          <w:numId w:val="2"/>
        </w:numPr>
        <w:spacing w:line="600" w:lineRule="exact"/>
        <w:ind w:firstLine="642" w:firstLineChars="200"/>
        <w:rPr>
          <w:rStyle w:val="16"/>
          <w:rFonts w:ascii="仿宋" w:hAnsi="仿宋" w:eastAsia="仿宋"/>
          <w:b w:val="0"/>
          <w:bCs/>
          <w:sz w:val="32"/>
          <w:szCs w:val="32"/>
        </w:rPr>
      </w:pPr>
      <w:r>
        <w:rPr>
          <w:rStyle w:val="16"/>
          <w:rFonts w:hint="eastAsia" w:ascii="仿宋" w:hAnsi="仿宋" w:eastAsia="仿宋"/>
          <w:bCs/>
          <w:sz w:val="32"/>
          <w:szCs w:val="32"/>
        </w:rPr>
        <w:t>一般公共服务（类）组织事务（款）行政运行（项）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173.21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numPr>
          <w:ilvl w:val="0"/>
          <w:numId w:val="2"/>
        </w:numPr>
        <w:spacing w:before="93"/>
        <w:ind w:firstLine="642" w:firstLineChars="200"/>
        <w:rPr>
          <w:rStyle w:val="16"/>
          <w:rFonts w:ascii="仿宋" w:hAnsi="仿宋" w:eastAsia="仿宋"/>
          <w:b w:val="0"/>
          <w:bCs/>
          <w:sz w:val="32"/>
          <w:szCs w:val="32"/>
        </w:rPr>
      </w:pPr>
      <w:r>
        <w:rPr>
          <w:rStyle w:val="16"/>
          <w:rFonts w:hint="eastAsia" w:ascii="仿宋" w:hAnsi="仿宋" w:eastAsia="仿宋"/>
          <w:bCs/>
          <w:sz w:val="32"/>
          <w:szCs w:val="32"/>
        </w:rPr>
        <w:t>一般公共服务（类）组织事务（款） 一般行政管理事务（项）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20</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pPr>
      <w:r>
        <w:rPr>
          <w:rStyle w:val="16"/>
          <w:rFonts w:hint="eastAsia" w:ascii="仿宋" w:hAnsi="仿宋" w:eastAsia="仿宋"/>
          <w:bCs/>
          <w:sz w:val="32"/>
          <w:szCs w:val="32"/>
        </w:rPr>
        <w:t>3.社会保障和就业（类）行政事业单位养老支出（款） 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20.05</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Style w:val="16"/>
          <w:rFonts w:hint="eastAsia" w:ascii="仿宋" w:hAnsi="仿宋" w:eastAsia="仿宋"/>
          <w:b w:val="0"/>
          <w:bCs/>
          <w:sz w:val="32"/>
          <w:szCs w:val="32"/>
        </w:rPr>
      </w:pPr>
      <w:r>
        <w:rPr>
          <w:rStyle w:val="16"/>
          <w:rFonts w:hint="eastAsia" w:ascii="仿宋" w:hAnsi="仿宋" w:eastAsia="仿宋"/>
          <w:bCs/>
          <w:sz w:val="32"/>
          <w:szCs w:val="32"/>
        </w:rPr>
        <w:t>4</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 行政单位医疗（项）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5.91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Style w:val="16"/>
          <w:rFonts w:ascii="仿宋" w:hAnsi="仿宋" w:eastAsia="仿宋"/>
          <w:b w:val="0"/>
          <w:bCs/>
          <w:sz w:val="32"/>
          <w:szCs w:val="32"/>
        </w:rPr>
      </w:pPr>
      <w:r>
        <w:rPr>
          <w:rStyle w:val="16"/>
          <w:rFonts w:hint="eastAsia" w:ascii="仿宋" w:hAnsi="仿宋" w:eastAsia="仿宋"/>
          <w:bCs/>
          <w:sz w:val="32"/>
          <w:szCs w:val="32"/>
        </w:rPr>
        <w:t>5. 4</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 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支出决算为2.</w:t>
      </w:r>
      <w:r>
        <w:rPr>
          <w:rStyle w:val="16"/>
          <w:rFonts w:hint="eastAsia" w:ascii="仿宋" w:hAnsi="仿宋" w:eastAsia="仿宋"/>
          <w:b w:val="0"/>
          <w:bCs/>
          <w:sz w:val="32"/>
          <w:szCs w:val="32"/>
          <w:lang w:val="en-US" w:eastAsia="zh-CN"/>
        </w:rPr>
        <w:t>36</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spacing w:before="93"/>
        <w:ind w:firstLine="642" w:firstLineChars="200"/>
        <w:rPr>
          <w:rStyle w:val="16"/>
          <w:rFonts w:ascii="仿宋" w:hAnsi="仿宋" w:eastAsia="仿宋"/>
          <w:b w:val="0"/>
          <w:bCs/>
          <w:sz w:val="32"/>
          <w:szCs w:val="32"/>
        </w:rPr>
      </w:pPr>
      <w:r>
        <w:rPr>
          <w:rStyle w:val="16"/>
          <w:rFonts w:hint="eastAsia" w:ascii="仿宋" w:hAnsi="仿宋" w:eastAsia="仿宋"/>
          <w:bCs/>
          <w:sz w:val="32"/>
          <w:szCs w:val="32"/>
        </w:rPr>
        <w:t>6</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（类）行政事业单位医疗（款） 公务员医疗补助（项）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1.22</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spacing w:before="93"/>
        <w:ind w:firstLine="642" w:firstLineChars="200"/>
        <w:rPr>
          <w:rFonts w:ascii="仿宋" w:hAnsi="仿宋" w:eastAsia="仿宋"/>
          <w:b/>
          <w:sz w:val="32"/>
          <w:szCs w:val="32"/>
        </w:rPr>
      </w:pPr>
      <w:r>
        <w:rPr>
          <w:rStyle w:val="16"/>
          <w:rFonts w:hint="eastAsia" w:ascii="仿宋" w:hAnsi="仿宋" w:eastAsia="仿宋"/>
          <w:bCs/>
          <w:sz w:val="32"/>
          <w:szCs w:val="32"/>
        </w:rPr>
        <w:t>7.</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 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16.33</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p>
    <w:p>
      <w:pPr>
        <w:tabs>
          <w:tab w:val="right" w:pos="8306"/>
        </w:tabs>
        <w:spacing w:line="600" w:lineRule="exact"/>
        <w:ind w:firstLine="640"/>
        <w:outlineLvl w:val="1"/>
        <w:rPr>
          <w:rStyle w:val="27"/>
          <w:rFonts w:hint="eastAsia"/>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6"/>
      <w:bookmarkEnd w:id="37"/>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239.08</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219.08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28.44</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38" w:name="_Toc15377215"/>
      <w:bookmarkStart w:id="39" w:name="_Toc15396609"/>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年“三公”经费财政拨款支出决算中，因公出国（境）费支出决算0万元；公务接待费支出决算0万元：</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bookmarkStart w:id="42" w:name="_Toc15377218"/>
      <w:bookmarkStart w:id="43" w:name="_Toc15396610"/>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pPr>
        <w:numPr>
          <w:ilvl w:val="0"/>
          <w:numId w:val="3"/>
        </w:numPr>
        <w:spacing w:line="600" w:lineRule="exact"/>
        <w:ind w:firstLine="640"/>
        <w:outlineLvl w:val="1"/>
        <w:rPr>
          <w:rStyle w:val="27"/>
          <w:rFonts w:ascii="黑体" w:hAnsi="黑体" w:eastAsia="黑体"/>
          <w:b w:val="0"/>
        </w:rPr>
      </w:pPr>
      <w:bookmarkStart w:id="44" w:name="_Toc15377219"/>
      <w:bookmarkStart w:id="45" w:name="_Toc15396611"/>
      <w:r>
        <w:rPr>
          <w:rStyle w:val="27"/>
          <w:rFonts w:hint="eastAsia" w:ascii="黑体" w:hAnsi="黑体" w:eastAsia="黑体"/>
          <w:b w:val="0"/>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pPr>
        <w:numPr>
          <w:ilvl w:val="0"/>
          <w:numId w:val="3"/>
        </w:numPr>
        <w:spacing w:line="600" w:lineRule="exact"/>
        <w:ind w:firstLine="640"/>
        <w:outlineLvl w:val="1"/>
        <w:rPr>
          <w:rStyle w:val="27"/>
          <w:rFonts w:ascii="黑体" w:hAnsi="黑体" w:eastAsia="黑体"/>
          <w:b w:val="0"/>
        </w:rPr>
      </w:pPr>
      <w:bookmarkStart w:id="46" w:name="_Toc15377221"/>
      <w:bookmarkStart w:id="47" w:name="_Toc15396612"/>
      <w:r>
        <w:rPr>
          <w:rStyle w:val="27"/>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年，区委编办机关运行经费支出</w:t>
      </w:r>
      <w:r>
        <w:rPr>
          <w:rFonts w:hint="eastAsia" w:ascii="仿宋_GB2312" w:eastAsia="仿宋_GB2312"/>
          <w:sz w:val="32"/>
          <w:szCs w:val="32"/>
          <w:lang w:val="en-US" w:eastAsia="zh-CN"/>
        </w:rPr>
        <w:t>28.44</w:t>
      </w:r>
      <w:r>
        <w:rPr>
          <w:rFonts w:hint="eastAsia" w:ascii="仿宋_GB2312" w:eastAsia="仿宋_GB2312"/>
          <w:sz w:val="32"/>
          <w:szCs w:val="32"/>
        </w:rPr>
        <w:t>万元，比202</w:t>
      </w:r>
      <w:r>
        <w:rPr>
          <w:rFonts w:hint="eastAsia" w:ascii="仿宋_GB2312" w:eastAsia="仿宋_GB2312"/>
          <w:sz w:val="32"/>
          <w:szCs w:val="32"/>
          <w:lang w:val="en-US" w:eastAsia="zh-CN"/>
        </w:rPr>
        <w:t>2</w:t>
      </w:r>
      <w:r>
        <w:rPr>
          <w:rFonts w:hint="eastAsia" w:ascii="仿宋_GB2312" w:eastAsia="仿宋_GB2312"/>
          <w:sz w:val="32"/>
          <w:szCs w:val="32"/>
        </w:rPr>
        <w:t>年27.36万元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1.08</w:t>
      </w:r>
      <w:r>
        <w:rPr>
          <w:rFonts w:hint="eastAsia" w:ascii="仿宋_GB2312" w:eastAsia="仿宋_GB2312"/>
          <w:sz w:val="32"/>
          <w:szCs w:val="32"/>
        </w:rPr>
        <w:t>万元，减少3</w:t>
      </w:r>
      <w:r>
        <w:rPr>
          <w:rFonts w:hint="eastAsia" w:ascii="仿宋_GB2312" w:eastAsia="仿宋_GB2312"/>
          <w:sz w:val="32"/>
          <w:szCs w:val="32"/>
          <w:lang w:val="en-US" w:eastAsia="zh-CN"/>
        </w:rPr>
        <w:t>.95</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年，区委编办政府采购支出总额0万元.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日，区委编办共有车辆0辆。</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机构编制管理经费、机关事业单位统一社会信用代码赋码等5个项目开展了预算事前绩效评估，对5个项目编制了绩效目标，预算执行过程中，选取5个项目开展绩效监控，年终执行完毕后，对5个项目开展了绩效自评。同时，本部门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年部门整体开展绩效自评，《中共巴中市巴州区委机构编制委员会办公室202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年整体支出绩效评价报告》见附件（第四部分）。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51" w:name="_Toc15377225"/>
      <w:bookmarkStart w:id="52" w:name="_Toc15396613"/>
      <w:r>
        <w:rPr>
          <w:rFonts w:hint="eastAsia" w:ascii="黑体" w:hAnsi="黑体" w:eastAsia="黑体"/>
          <w:sz w:val="44"/>
          <w:szCs w:val="44"/>
        </w:rPr>
        <w:t>名</w:t>
      </w:r>
      <w:r>
        <w:rPr>
          <w:rStyle w:val="26"/>
          <w:rFonts w:hint="eastAsia" w:ascii="黑体" w:hAnsi="黑体" w:eastAsia="黑体"/>
          <w:b w:val="0"/>
        </w:rPr>
        <w:t>词解释</w:t>
      </w:r>
      <w:bookmarkEnd w:id="51"/>
      <w:bookmarkEnd w:id="52"/>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9.一般公共服务支出（类）人力资源事务（款）行政运行（项）：指机关及所属单位正常运转的基本支出，包括基本工资、津贴补贴等人员经费以及办公费、印刷费、水电费等日常公用经费。</w:t>
      </w:r>
    </w:p>
    <w:p>
      <w:pPr>
        <w:ind w:firstLine="640" w:firstLineChars="200"/>
        <w:rPr>
          <w:rFonts w:ascii="仿宋_GB2312" w:eastAsia="仿宋_GB2312"/>
          <w:sz w:val="32"/>
          <w:szCs w:val="32"/>
        </w:rPr>
      </w:pPr>
      <w:r>
        <w:rPr>
          <w:rFonts w:hint="eastAsia" w:ascii="仿宋_GB2312" w:eastAsia="仿宋_GB2312"/>
          <w:sz w:val="32"/>
          <w:szCs w:val="32"/>
        </w:rPr>
        <w:t>10．一般公共服务支出（类）人力资源事务（款）一般行政管理事务（项）：指机关及所属单位开展等未单独设置项级科目的专门性工作的项目支出</w:t>
      </w:r>
    </w:p>
    <w:p>
      <w:pPr>
        <w:ind w:firstLine="640" w:firstLineChars="200"/>
        <w:rPr>
          <w:rFonts w:ascii="仿宋_GB2312" w:eastAsia="仿宋_GB2312"/>
          <w:sz w:val="32"/>
          <w:szCs w:val="32"/>
        </w:rPr>
      </w:pPr>
      <w:r>
        <w:rPr>
          <w:rFonts w:hint="eastAsia" w:ascii="仿宋_GB2312" w:eastAsia="仿宋_GB2312"/>
          <w:sz w:val="32"/>
          <w:szCs w:val="32"/>
        </w:rPr>
        <w:t>11.社会保障和就业（类）行政事业单位离退休（款）机关事业单位基本养老保险缴费支出（项）：指机关事业单位实施养老保险制度由单位缴纳的基本养老保险支出。</w:t>
      </w:r>
    </w:p>
    <w:p>
      <w:pPr>
        <w:ind w:firstLine="640" w:firstLineChars="200"/>
        <w:rPr>
          <w:rFonts w:ascii="仿宋_GB2312" w:eastAsia="仿宋_GB2312"/>
          <w:sz w:val="32"/>
          <w:szCs w:val="32"/>
        </w:rPr>
      </w:pPr>
      <w:r>
        <w:rPr>
          <w:rFonts w:hint="eastAsia" w:ascii="仿宋_GB2312" w:eastAsia="仿宋_GB2312"/>
          <w:sz w:val="32"/>
          <w:szCs w:val="32"/>
        </w:rPr>
        <w:t>12．医疗卫生与计划生育(类)行政事业单位医疗(款)行政单位医疗(项)：指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sz w:val="32"/>
          <w:szCs w:val="32"/>
        </w:rPr>
      </w:pPr>
      <w:r>
        <w:rPr>
          <w:rFonts w:hint="eastAsia" w:ascii="仿宋_GB2312" w:eastAsia="仿宋_GB2312"/>
          <w:sz w:val="32"/>
          <w:szCs w:val="32"/>
        </w:rPr>
        <w:t>13．医疗卫生与计划生育(类)行政事业单位医疗(款) 公务员医疗补助(项)：反映财政部门集中安排的公务员医疗补助经费</w:t>
      </w:r>
    </w:p>
    <w:p>
      <w:pPr>
        <w:ind w:firstLine="640" w:firstLineChars="200"/>
        <w:rPr>
          <w:rFonts w:ascii="仿宋_GB2312" w:eastAsia="仿宋_GB2312"/>
          <w:sz w:val="32"/>
          <w:szCs w:val="32"/>
        </w:rPr>
      </w:pPr>
      <w:r>
        <w:rPr>
          <w:rFonts w:hint="eastAsia" w:ascii="仿宋_GB2312" w:eastAsia="仿宋_GB2312"/>
          <w:sz w:val="32"/>
          <w:szCs w:val="32"/>
        </w:rPr>
        <w:t>14. 住房保障(类)住房改革支出(款)住房公积金(项)：指行政事业单位按人力资源和社会保障部、财政部规定的基本工资和津贴补贴以及规定比例为职工缴纳的住房公积金。</w:t>
      </w: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15.项目支出：指在基本支出之外为完成特定行政任务和事业发展目标所发生的支出。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p>
    <w:p>
      <w:pPr>
        <w:spacing w:line="600" w:lineRule="exact"/>
        <w:jc w:val="center"/>
        <w:outlineLvl w:val="0"/>
        <w:rPr>
          <w:rFonts w:ascii="宋体"/>
          <w:b/>
          <w:sz w:val="44"/>
          <w:szCs w:val="44"/>
        </w:rPr>
      </w:pPr>
      <w:bookmarkStart w:id="53" w:name="_Toc15377226"/>
      <w:r>
        <w:rPr>
          <w:rFonts w:ascii="宋体"/>
          <w:b/>
          <w:sz w:val="44"/>
          <w:szCs w:val="44"/>
        </w:rPr>
        <w:br w:type="page"/>
      </w:r>
      <w:bookmarkStart w:id="54" w:name="_Toc15396614"/>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600" w:lineRule="exact"/>
        <w:jc w:val="center"/>
        <w:outlineLvl w:val="0"/>
        <w:rPr>
          <w:rFonts w:ascii="宋体"/>
          <w:b/>
          <w:sz w:val="44"/>
          <w:szCs w:val="44"/>
        </w:rPr>
      </w:pPr>
    </w:p>
    <w:p>
      <w:pPr>
        <w:spacing w:line="600" w:lineRule="exact"/>
        <w:jc w:val="center"/>
        <w:outlineLvl w:val="0"/>
        <w:rPr>
          <w:rStyle w:val="26"/>
          <w:rFonts w:ascii="黑体" w:hAnsi="黑体" w:eastAsia="黑体"/>
          <w:b w:val="0"/>
        </w:rPr>
      </w:pPr>
      <w:r>
        <w:rPr>
          <w:rFonts w:hint="eastAsia" w:ascii="黑体" w:hAnsi="黑体" w:eastAsia="黑体"/>
          <w:sz w:val="44"/>
          <w:szCs w:val="44"/>
        </w:rPr>
        <w:t>第</w:t>
      </w:r>
      <w:r>
        <w:rPr>
          <w:rStyle w:val="26"/>
          <w:rFonts w:hint="eastAsia" w:ascii="黑体" w:hAnsi="黑体" w:eastAsia="黑体"/>
          <w:b w:val="0"/>
        </w:rPr>
        <w:t xml:space="preserve">四部分 </w:t>
      </w:r>
      <w:bookmarkEnd w:id="54"/>
    </w:p>
    <w:p>
      <w:pPr>
        <w:spacing w:line="520" w:lineRule="exact"/>
        <w:rPr>
          <w:rFonts w:ascii="Times New Roman" w:hAnsi="Times New Roman" w:eastAsia="方正小标宋_GBK"/>
          <w:sz w:val="44"/>
          <w:szCs w:val="44"/>
        </w:rPr>
      </w:pPr>
      <w:bookmarkStart w:id="55" w:name="_Toc15396618"/>
    </w:p>
    <w:p>
      <w:pPr>
        <w:spacing w:line="52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中共巴中市巴州区委机构编制委员会办公室</w:t>
      </w:r>
    </w:p>
    <w:p>
      <w:pPr>
        <w:spacing w:line="520" w:lineRule="exact"/>
        <w:jc w:val="center"/>
        <w:rPr>
          <w:rFonts w:hint="eastAsia" w:ascii="方正小标宋_GBK" w:hAnsi="宋体" w:eastAsia="方正小标宋_GBK"/>
          <w:sz w:val="44"/>
          <w:szCs w:val="44"/>
          <w:shd w:val="clear" w:color="auto" w:fill="FFFFFF"/>
        </w:rPr>
      </w:pPr>
      <w:r>
        <w:rPr>
          <w:rFonts w:ascii="Times New Roman" w:hAnsi="Times New Roman" w:eastAsia="方正小标宋_GBK"/>
          <w:sz w:val="44"/>
          <w:szCs w:val="44"/>
        </w:rPr>
        <w:t>关于</w:t>
      </w:r>
      <w:r>
        <w:rPr>
          <w:rFonts w:hint="eastAsia" w:eastAsia="方正小标宋_GBK"/>
          <w:sz w:val="44"/>
          <w:szCs w:val="44"/>
          <w:lang w:val="en-US" w:eastAsia="zh-CN"/>
        </w:rPr>
        <w:t>2023年度</w:t>
      </w:r>
      <w:r>
        <w:rPr>
          <w:rFonts w:hint="eastAsia" w:ascii="方正小标宋_GBK" w:hAnsi="宋体" w:eastAsia="方正小标宋_GBK"/>
          <w:sz w:val="44"/>
          <w:szCs w:val="44"/>
          <w:shd w:val="clear" w:color="auto" w:fill="FFFFFF"/>
        </w:rPr>
        <w:t>整体绩效运行监控分析的报告</w:t>
      </w:r>
    </w:p>
    <w:p>
      <w:pPr>
        <w:spacing w:line="520" w:lineRule="exact"/>
        <w:jc w:val="center"/>
        <w:rPr>
          <w:rFonts w:ascii="Times New Roman" w:hAnsi="Times New Roman" w:eastAsia="方正小标宋_GBK"/>
          <w:sz w:val="44"/>
          <w:szCs w:val="44"/>
        </w:rPr>
      </w:pPr>
    </w:p>
    <w:p>
      <w:pPr>
        <w:spacing w:line="520" w:lineRule="exact"/>
        <w:ind w:firstLine="640" w:firstLineChars="200"/>
        <w:rPr>
          <w:rFonts w:ascii="Times New Roman" w:hAnsi="Times New Roman" w:eastAsia="方正仿宋_GBK"/>
          <w:sz w:val="32"/>
          <w:szCs w:val="32"/>
        </w:rPr>
      </w:pPr>
    </w:p>
    <w:p>
      <w:pPr>
        <w:spacing w:line="52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区财政局：</w:t>
      </w:r>
    </w:p>
    <w:p>
      <w:pPr>
        <w:spacing w:line="52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根据工作要求，现将区委编办整体绩效运行监控分析情况报告如下。</w:t>
      </w:r>
    </w:p>
    <w:p>
      <w:pPr>
        <w:pStyle w:val="2"/>
        <w:spacing w:after="0" w:line="52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一、部门概况</w:t>
      </w:r>
    </w:p>
    <w:p>
      <w:pPr>
        <w:pStyle w:val="2"/>
        <w:spacing w:after="0" w:line="52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（一）机构组成</w:t>
      </w:r>
    </w:p>
    <w:p>
      <w:pPr>
        <w:pStyle w:val="2"/>
        <w:spacing w:after="0"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区委编办</w:t>
      </w:r>
      <w:r>
        <w:rPr>
          <w:rFonts w:ascii="Times New Roman" w:hAnsi="Times New Roman" w:eastAsia="方正仿宋_GBK"/>
          <w:sz w:val="32"/>
          <w:szCs w:val="32"/>
        </w:rPr>
        <w:t>下属</w:t>
      </w:r>
      <w:r>
        <w:rPr>
          <w:rFonts w:hint="eastAsia" w:ascii="Times New Roman" w:hAnsi="Times New Roman" w:eastAsia="方正仿宋_GBK"/>
          <w:sz w:val="32"/>
          <w:szCs w:val="32"/>
        </w:rPr>
        <w:t>事业</w:t>
      </w:r>
      <w:r>
        <w:rPr>
          <w:rFonts w:ascii="Times New Roman" w:hAnsi="Times New Roman" w:eastAsia="方正仿宋_GBK"/>
          <w:sz w:val="32"/>
          <w:szCs w:val="32"/>
        </w:rPr>
        <w:t>单位3个，主要包括：</w:t>
      </w:r>
      <w:r>
        <w:rPr>
          <w:rFonts w:hint="eastAsia" w:ascii="Times New Roman" w:hAnsi="Times New Roman" w:eastAsia="方正仿宋_GBK"/>
          <w:sz w:val="32"/>
          <w:szCs w:val="32"/>
        </w:rPr>
        <w:t>巴州区事业单位登记服务中心、巴州区统一代码登记管理中心、巴州区机构编制电子政务中心</w:t>
      </w:r>
      <w:r>
        <w:rPr>
          <w:rFonts w:ascii="Times New Roman" w:hAnsi="Times New Roman" w:eastAsia="方正仿宋_GBK"/>
          <w:sz w:val="32"/>
          <w:szCs w:val="32"/>
        </w:rPr>
        <w:t>。</w:t>
      </w:r>
    </w:p>
    <w:p>
      <w:pPr>
        <w:pStyle w:val="2"/>
        <w:spacing w:after="0" w:line="52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1.贯彻执行中央、省、市关于行政管理体制改革和机构改革、事业单位改革及机构编制管理的方针政策、法律法规规章，拟订全区机构编制规范性文件并监督实施。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研究拟订全区行政管理体制改革和机构改革方案，审核各乡（镇、街道）、区直各部门“三定”规定，指导各乡镇、区直各部门行政管理体制改革和机构改革，评估改革效果、参与行政审批制度改革和行政区划调整的有关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拟订全区各级行政编制、政法专项编制总额分配方案，审核同一层级调整行政编制事项，提出全区行政事业编制总量控制和动态调整方案、负责全区机关事业单位机构编制实名制管理工作、对全区机关事业单位使用空缺编制补充人员进行核批、指导乡（镇、街道）、区级各部门机构编制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负责区委、区政府各部门，区人大、区政协机关，区法院、区检察院机关，各民主党派、区人民团体机关以及乡（镇、街道）的机构编制管理工作、协调区直各部门之间及区直各部门与乡（镇、街道）之间的职责分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研究拟订全区事业单位改革方案和事业单位改革方案及实施意见，负责全区事业单位机构编制管理，审核全区各事业单位的机构编制方案，负责参照《公务员法》管理事业单位职责的审核工作，审核乡（镇、街道）、区直事业单位及部门直属事业单位改革总体方案，指导、协调各乡（镇、街道）事业单位改革和机构编制管理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6.监督检查全区行政管理体制改革和机构改革方案及机构编制规定执行情况，建立机构编制工作考核评估制度，会同有关部门查处机构编制违法违纪行为。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7.负责全区事业单位登记管理工作。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8.承办区委、区政府和区委编委交办的其他工作。</w:t>
      </w:r>
    </w:p>
    <w:p>
      <w:pPr>
        <w:pStyle w:val="2"/>
        <w:spacing w:after="0" w:line="52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（三）人员概况</w:t>
      </w:r>
    </w:p>
    <w:p>
      <w:pPr>
        <w:pStyle w:val="2"/>
        <w:spacing w:after="0"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2023年，我单位现有在编在岗人员</w:t>
      </w:r>
      <w:r>
        <w:rPr>
          <w:rFonts w:hint="eastAsia" w:ascii="Times New Roman" w:hAnsi="Times New Roman" w:eastAsia="方正仿宋_GBK"/>
          <w:sz w:val="32"/>
          <w:szCs w:val="32"/>
        </w:rPr>
        <w:t>13</w:t>
      </w:r>
      <w:r>
        <w:rPr>
          <w:rFonts w:ascii="Times New Roman" w:hAnsi="Times New Roman" w:eastAsia="方正仿宋_GBK"/>
          <w:sz w:val="32"/>
          <w:szCs w:val="32"/>
        </w:rPr>
        <w:t>人，其中：</w:t>
      </w:r>
      <w:r>
        <w:rPr>
          <w:rFonts w:hint="eastAsia" w:ascii="Times New Roman" w:hAnsi="Times New Roman" w:eastAsia="方正仿宋_GBK"/>
          <w:sz w:val="32"/>
          <w:szCs w:val="32"/>
        </w:rPr>
        <w:t>公务员3</w:t>
      </w:r>
      <w:r>
        <w:rPr>
          <w:rFonts w:ascii="Times New Roman" w:hAnsi="Times New Roman" w:eastAsia="方正仿宋_GBK"/>
          <w:sz w:val="32"/>
          <w:szCs w:val="32"/>
        </w:rPr>
        <w:t>人、参公人员4个</w:t>
      </w:r>
      <w:r>
        <w:rPr>
          <w:rFonts w:hint="eastAsia" w:ascii="Times New Roman" w:hAnsi="Times New Roman" w:eastAsia="方正仿宋_GBK"/>
          <w:sz w:val="32"/>
          <w:szCs w:val="32"/>
        </w:rPr>
        <w:t>、</w:t>
      </w:r>
      <w:r>
        <w:rPr>
          <w:rFonts w:ascii="Times New Roman" w:hAnsi="Times New Roman" w:eastAsia="方正仿宋_GBK"/>
          <w:sz w:val="32"/>
          <w:szCs w:val="32"/>
        </w:rPr>
        <w:t>事业人员</w:t>
      </w:r>
      <w:r>
        <w:rPr>
          <w:rFonts w:hint="eastAsia" w:ascii="Times New Roman" w:hAnsi="Times New Roman" w:eastAsia="方正仿宋_GBK"/>
          <w:sz w:val="32"/>
          <w:szCs w:val="32"/>
        </w:rPr>
        <w:t>4</w:t>
      </w:r>
      <w:r>
        <w:rPr>
          <w:rFonts w:ascii="Times New Roman" w:hAnsi="Times New Roman" w:eastAsia="方正仿宋_GBK"/>
          <w:sz w:val="32"/>
          <w:szCs w:val="32"/>
        </w:rPr>
        <w:t>人</w:t>
      </w:r>
      <w:r>
        <w:rPr>
          <w:rFonts w:hint="eastAsia" w:ascii="Times New Roman" w:hAnsi="Times New Roman" w:eastAsia="方正仿宋_GBK"/>
          <w:sz w:val="32"/>
          <w:szCs w:val="32"/>
        </w:rPr>
        <w:t>、工勤人员2人。</w:t>
      </w:r>
      <w:r>
        <w:rPr>
          <w:rFonts w:ascii="Times New Roman" w:hAnsi="Times New Roman" w:eastAsia="方正仿宋_GBK"/>
          <w:sz w:val="32"/>
          <w:szCs w:val="32"/>
        </w:rPr>
        <w:t>退休人员</w:t>
      </w:r>
      <w:r>
        <w:rPr>
          <w:rFonts w:hint="eastAsia" w:ascii="Times New Roman" w:hAnsi="Times New Roman" w:eastAsia="方正仿宋_GBK"/>
          <w:sz w:val="32"/>
          <w:szCs w:val="32"/>
        </w:rPr>
        <w:t>2</w:t>
      </w:r>
      <w:r>
        <w:rPr>
          <w:rFonts w:ascii="Times New Roman" w:hAnsi="Times New Roman" w:eastAsia="方正仿宋_GBK"/>
          <w:sz w:val="32"/>
          <w:szCs w:val="32"/>
        </w:rPr>
        <w:t>人。</w:t>
      </w:r>
    </w:p>
    <w:p>
      <w:pPr>
        <w:pStyle w:val="2"/>
        <w:spacing w:after="0" w:line="52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二、预算执行进度和绩效目标运行情况</w:t>
      </w:r>
    </w:p>
    <w:p>
      <w:pPr>
        <w:pStyle w:val="2"/>
        <w:spacing w:after="0" w:line="52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（一）预算执行进度</w:t>
      </w:r>
    </w:p>
    <w:p>
      <w:pPr>
        <w:pStyle w:val="2"/>
        <w:spacing w:after="0"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2023年部门财政拨款收入总计</w:t>
      </w:r>
      <w:r>
        <w:rPr>
          <w:rFonts w:hint="eastAsia" w:ascii="Times New Roman" w:hAnsi="Times New Roman" w:eastAsia="方正仿宋_GBK"/>
          <w:sz w:val="32"/>
          <w:szCs w:val="32"/>
        </w:rPr>
        <w:t>242.13</w:t>
      </w:r>
      <w:r>
        <w:rPr>
          <w:rFonts w:ascii="Times New Roman" w:hAnsi="Times New Roman" w:eastAsia="方正仿宋_GBK"/>
          <w:sz w:val="32"/>
          <w:szCs w:val="32"/>
        </w:rPr>
        <w:t>万元，其中：一般公共预算财政拨款收入</w:t>
      </w:r>
      <w:r>
        <w:rPr>
          <w:rFonts w:hint="eastAsia" w:ascii="Times New Roman" w:hAnsi="Times New Roman" w:eastAsia="方正仿宋_GBK"/>
          <w:sz w:val="32"/>
          <w:szCs w:val="32"/>
        </w:rPr>
        <w:t>242.13</w:t>
      </w:r>
      <w:r>
        <w:rPr>
          <w:rFonts w:ascii="Times New Roman" w:hAnsi="Times New Roman" w:eastAsia="方正仿宋_GBK"/>
          <w:sz w:val="32"/>
          <w:szCs w:val="32"/>
        </w:rPr>
        <w:t>万元。1-8月部门财政资金支出总计</w:t>
      </w:r>
      <w:r>
        <w:rPr>
          <w:rFonts w:hint="eastAsia" w:ascii="Times New Roman" w:hAnsi="Times New Roman" w:eastAsia="方正仿宋_GBK"/>
          <w:sz w:val="32"/>
          <w:szCs w:val="32"/>
        </w:rPr>
        <w:t>140.11</w:t>
      </w:r>
      <w:r>
        <w:rPr>
          <w:rFonts w:ascii="Times New Roman" w:hAnsi="Times New Roman" w:eastAsia="方正仿宋_GBK"/>
          <w:sz w:val="32"/>
          <w:szCs w:val="32"/>
        </w:rPr>
        <w:t>万元，支付率</w:t>
      </w:r>
      <w:r>
        <w:rPr>
          <w:rFonts w:hint="eastAsia" w:ascii="Times New Roman" w:hAnsi="Times New Roman" w:eastAsia="方正仿宋_GBK"/>
          <w:sz w:val="32"/>
          <w:szCs w:val="32"/>
        </w:rPr>
        <w:t>57.87</w:t>
      </w:r>
      <w:r>
        <w:rPr>
          <w:rFonts w:ascii="Times New Roman" w:hAnsi="Times New Roman" w:eastAsia="方正仿宋_GBK"/>
          <w:sz w:val="32"/>
          <w:szCs w:val="32"/>
        </w:rPr>
        <w:t>%。其中：基本支出</w:t>
      </w:r>
      <w:r>
        <w:rPr>
          <w:rFonts w:hint="eastAsia" w:ascii="Times New Roman" w:hAnsi="Times New Roman" w:eastAsia="方正仿宋_GBK"/>
          <w:sz w:val="32"/>
          <w:szCs w:val="32"/>
        </w:rPr>
        <w:t>125.87</w:t>
      </w:r>
      <w:r>
        <w:rPr>
          <w:rFonts w:ascii="Times New Roman" w:hAnsi="Times New Roman" w:eastAsia="方正仿宋_GBK"/>
          <w:sz w:val="32"/>
          <w:szCs w:val="32"/>
        </w:rPr>
        <w:t>万元，项目支出</w:t>
      </w:r>
      <w:r>
        <w:rPr>
          <w:rFonts w:hint="eastAsia" w:ascii="Times New Roman" w:hAnsi="Times New Roman" w:eastAsia="方正仿宋_GBK"/>
          <w:sz w:val="32"/>
          <w:szCs w:val="32"/>
        </w:rPr>
        <w:t>14.24</w:t>
      </w:r>
      <w:r>
        <w:rPr>
          <w:rFonts w:ascii="Times New Roman" w:hAnsi="Times New Roman" w:eastAsia="方正仿宋_GBK"/>
          <w:sz w:val="32"/>
          <w:szCs w:val="32"/>
        </w:rPr>
        <w:t>万元。</w:t>
      </w:r>
    </w:p>
    <w:p>
      <w:pPr>
        <w:pStyle w:val="2"/>
        <w:spacing w:after="0" w:line="52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（二）预算目标实现程度</w:t>
      </w:r>
    </w:p>
    <w:p>
      <w:pPr>
        <w:pStyle w:val="2"/>
        <w:spacing w:after="0"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截至目前，按监控节点，预期指标值为衡量标准，我</w:t>
      </w:r>
      <w:r>
        <w:rPr>
          <w:rFonts w:hint="eastAsia" w:ascii="Times New Roman" w:hAnsi="Times New Roman" w:eastAsia="方正仿宋_GBK"/>
          <w:sz w:val="32"/>
          <w:szCs w:val="32"/>
        </w:rPr>
        <w:t>办</w:t>
      </w:r>
      <w:r>
        <w:rPr>
          <w:rFonts w:ascii="Times New Roman" w:hAnsi="Times New Roman" w:eastAsia="方正仿宋_GBK"/>
          <w:sz w:val="32"/>
          <w:szCs w:val="32"/>
        </w:rPr>
        <w:t>预算执行进度为</w:t>
      </w:r>
      <w:r>
        <w:rPr>
          <w:rFonts w:hint="eastAsia" w:ascii="Times New Roman" w:hAnsi="Times New Roman" w:eastAsia="方正仿宋_GBK"/>
          <w:sz w:val="32"/>
          <w:szCs w:val="32"/>
        </w:rPr>
        <w:t>57.87</w:t>
      </w:r>
      <w:r>
        <w:rPr>
          <w:rFonts w:ascii="Times New Roman" w:hAnsi="Times New Roman" w:eastAsia="方正仿宋_GBK"/>
          <w:sz w:val="32"/>
          <w:szCs w:val="32"/>
        </w:rPr>
        <w:t>%，其中</w:t>
      </w:r>
      <w:r>
        <w:rPr>
          <w:rFonts w:hint="eastAsia" w:ascii="Times New Roman" w:hAnsi="Times New Roman" w:eastAsia="方正仿宋_GBK"/>
          <w:sz w:val="32"/>
          <w:szCs w:val="32"/>
        </w:rPr>
        <w:t>事业单位法人登记</w:t>
      </w:r>
      <w:r>
        <w:rPr>
          <w:rFonts w:ascii="Times New Roman" w:hAnsi="Times New Roman" w:eastAsia="方正仿宋_GBK"/>
          <w:sz w:val="32"/>
          <w:szCs w:val="32"/>
        </w:rPr>
        <w:t>经费</w:t>
      </w:r>
      <w:r>
        <w:rPr>
          <w:rFonts w:hint="eastAsia" w:ascii="Times New Roman" w:hAnsi="Times New Roman" w:eastAsia="方正仿宋_GBK"/>
          <w:sz w:val="32"/>
          <w:szCs w:val="32"/>
        </w:rPr>
        <w:t>8.2</w:t>
      </w:r>
      <w:r>
        <w:rPr>
          <w:rFonts w:ascii="Times New Roman" w:hAnsi="Times New Roman" w:eastAsia="方正仿宋_GBK"/>
          <w:sz w:val="32"/>
          <w:szCs w:val="32"/>
        </w:rPr>
        <w:t>%、</w:t>
      </w:r>
      <w:r>
        <w:rPr>
          <w:rFonts w:hint="eastAsia" w:ascii="Times New Roman" w:hAnsi="Times New Roman" w:eastAsia="方正仿宋_GBK"/>
          <w:sz w:val="32"/>
          <w:szCs w:val="32"/>
        </w:rPr>
        <w:t>机构编制管理66.6</w:t>
      </w:r>
      <w:r>
        <w:rPr>
          <w:rFonts w:ascii="Times New Roman" w:hAnsi="Times New Roman" w:eastAsia="方正仿宋_GBK"/>
          <w:sz w:val="32"/>
          <w:szCs w:val="32"/>
        </w:rPr>
        <w:t>%、</w:t>
      </w:r>
      <w:r>
        <w:rPr>
          <w:rFonts w:hint="eastAsia" w:ascii="Times New Roman" w:hAnsi="Times New Roman" w:eastAsia="方正仿宋_GBK"/>
          <w:sz w:val="32"/>
          <w:szCs w:val="32"/>
        </w:rPr>
        <w:t>党政机构改革78.8</w:t>
      </w:r>
      <w:r>
        <w:rPr>
          <w:rFonts w:ascii="Times New Roman" w:hAnsi="Times New Roman" w:eastAsia="方正仿宋_GBK"/>
          <w:sz w:val="32"/>
          <w:szCs w:val="32"/>
        </w:rPr>
        <w:t>%、</w:t>
      </w:r>
      <w:r>
        <w:rPr>
          <w:rFonts w:hint="eastAsia" w:ascii="Times New Roman" w:hAnsi="Times New Roman" w:eastAsia="方正仿宋_GBK"/>
          <w:sz w:val="32"/>
          <w:szCs w:val="32"/>
        </w:rPr>
        <w:t>机关事业单位政务和公益专用中文域名注册经费53.5</w:t>
      </w:r>
      <w:r>
        <w:rPr>
          <w:rFonts w:ascii="Times New Roman" w:hAnsi="Times New Roman" w:eastAsia="方正仿宋_GBK"/>
          <w:sz w:val="32"/>
          <w:szCs w:val="32"/>
        </w:rPr>
        <w:t>%</w:t>
      </w:r>
      <w:r>
        <w:rPr>
          <w:rFonts w:hint="eastAsia" w:ascii="Times New Roman" w:hAnsi="Times New Roman" w:eastAsia="方正仿宋_GBK"/>
          <w:sz w:val="32"/>
          <w:szCs w:val="32"/>
        </w:rPr>
        <w:t>、机关事业单位统一社会信用代码赋码经费45.6%</w:t>
      </w:r>
      <w:r>
        <w:rPr>
          <w:rFonts w:ascii="Times New Roman" w:hAnsi="Times New Roman" w:eastAsia="方正仿宋_GBK"/>
          <w:sz w:val="32"/>
          <w:szCs w:val="32"/>
        </w:rPr>
        <w:t>。我单位严格按照绩效管理的相关要求，对本单位整体支出绩效实施监控。共设置一级指标</w:t>
      </w:r>
      <w:r>
        <w:rPr>
          <w:rFonts w:hint="eastAsia" w:ascii="Times New Roman" w:hAnsi="Times New Roman" w:eastAsia="方正仿宋_GBK"/>
          <w:sz w:val="32"/>
          <w:szCs w:val="32"/>
        </w:rPr>
        <w:t>4</w:t>
      </w:r>
      <w:r>
        <w:rPr>
          <w:rFonts w:ascii="Times New Roman" w:hAnsi="Times New Roman" w:eastAsia="方正仿宋_GBK"/>
          <w:sz w:val="32"/>
          <w:szCs w:val="32"/>
        </w:rPr>
        <w:t>个，二级指标</w:t>
      </w:r>
      <w:r>
        <w:rPr>
          <w:rFonts w:hint="eastAsia" w:ascii="Times New Roman" w:hAnsi="Times New Roman" w:eastAsia="方正仿宋_GBK"/>
          <w:sz w:val="32"/>
          <w:szCs w:val="32"/>
        </w:rPr>
        <w:t>9</w:t>
      </w:r>
      <w:r>
        <w:rPr>
          <w:rFonts w:ascii="Times New Roman" w:hAnsi="Times New Roman" w:eastAsia="方正仿宋_GBK"/>
          <w:sz w:val="32"/>
          <w:szCs w:val="32"/>
        </w:rPr>
        <w:t>个，具体完成情况如下：</w:t>
      </w:r>
    </w:p>
    <w:p>
      <w:pPr>
        <w:spacing w:line="52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产出指标：</w:t>
      </w:r>
      <w:r>
        <w:rPr>
          <w:rFonts w:hint="eastAsia" w:ascii="Times New Roman" w:hAnsi="Times New Roman" w:eastAsia="方正仿宋_GBK" w:cs="方正仿宋_GBK"/>
          <w:color w:val="000000"/>
          <w:sz w:val="32"/>
          <w:szCs w:val="32"/>
        </w:rPr>
        <w:t>2023年上半年，区委编办不断强化政治机关定位，紧紧围绕机构编制管理挖掘潜力，切实把机构编制资源转化为推动经济社会发展的强劲动力，</w:t>
      </w:r>
      <w:r>
        <w:rPr>
          <w:rFonts w:hint="eastAsia" w:ascii="Times New Roman" w:hAnsi="Times New Roman" w:eastAsia="方正仿宋_GBK"/>
          <w:sz w:val="32"/>
          <w:szCs w:val="32"/>
        </w:rPr>
        <w:t>在完成数量、质量、实效上均取得了新成效</w:t>
      </w:r>
      <w:r>
        <w:rPr>
          <w:rFonts w:hint="eastAsia" w:ascii="Times New Roman" w:hAnsi="Times New Roman" w:eastAsia="方正仿宋_GBK" w:cs="方正仿宋_GBK"/>
          <w:color w:val="000000"/>
          <w:sz w:val="32"/>
          <w:szCs w:val="32"/>
        </w:rPr>
        <w:t>。</w:t>
      </w:r>
      <w:r>
        <w:rPr>
          <w:rFonts w:hint="eastAsia" w:ascii="方正楷体_GBK" w:hAnsi="方正楷体_GBK" w:eastAsia="方正楷体_GBK" w:cs="方正楷体_GBK"/>
          <w:sz w:val="32"/>
          <w:szCs w:val="32"/>
        </w:rPr>
        <w:t>一是蹄疾步稳深化改革创新。</w:t>
      </w:r>
      <w:r>
        <w:rPr>
          <w:rFonts w:hint="eastAsia" w:ascii="Times New Roman" w:hAnsi="Times New Roman" w:eastAsia="方正仿宋_GBK"/>
          <w:sz w:val="32"/>
          <w:szCs w:val="32"/>
        </w:rPr>
        <w:t>做足党政机构改革“提前量”。分组对全区37个党政群机关及所属事业单位、22个乡镇（街道）开展调研，全面清理机构、职能和人员编制情况，多层面、多角度了解体制机制与机构编制方面存在的问题，为推进新一轮党政机构改革工作奠定坚实基础。把牢重点领域改革“着力点”。完成国家安全体制改革工作，优化设置区委办公室内设机构和领导职数。调整完善国防动员工作体制，设置区人民政府国防动员办公室，核定相应人员编制和领导职数。改革疾病预防控制体系，设置区疾病预防控制局。打好行政执法改革“主动仗”。推动乡镇“一支队伍管执法”走深走实，会同区综合行政执法局拟订《乡镇综合行政执法改革试点方案》，全力打造乡镇综合行政执法改革“巴州样板”。</w:t>
      </w:r>
      <w:r>
        <w:rPr>
          <w:rFonts w:hint="eastAsia" w:ascii="方正楷体_GBK" w:hAnsi="方正楷体_GBK" w:eastAsia="方正楷体_GBK" w:cs="方正楷体_GBK"/>
          <w:sz w:val="32"/>
          <w:szCs w:val="32"/>
        </w:rPr>
        <w:t>二是聚焦聚力优化资源配置。</w:t>
      </w:r>
      <w:r>
        <w:rPr>
          <w:rFonts w:hint="eastAsia" w:ascii="Times New Roman" w:hAnsi="Times New Roman" w:eastAsia="方正仿宋_GBK"/>
          <w:sz w:val="32"/>
          <w:szCs w:val="32"/>
        </w:rPr>
        <w:t>抓住重点事项调优调强。纵深推进两项改革“后半篇”文章，印发《关于调整全区乡镇有关机构编制事项的通知》，调整设置人力资源和社会保障服务中心，同时优化领导职数设置，在原核定的领导职数限额内将党（工）委领导兼任后减少的副科级职数用于增设1名副乡镇长（副主任）职数。围绕重点领域强保障。围绕“双年行动”等区委中心工作，调剂增加区行政审批局、区投资促进局等部门编制，提供安全稳定、民生保障等领域编制保障130余名；动态调整中小学教职工编制，保障白云台实验学校用编需求。着眼重点环节明晰权责。制定（修订）区农业农村局等5个部门（单位）“三定”规定，修订乡镇（街道）属地事项109项、细化“子项”371个，扎实推动条块协同、管理高效。</w:t>
      </w:r>
      <w:r>
        <w:rPr>
          <w:rFonts w:hint="eastAsia" w:ascii="方正楷体_GBK" w:hAnsi="方正楷体_GBK" w:eastAsia="方正楷体_GBK" w:cs="方正楷体_GBK"/>
          <w:sz w:val="32"/>
          <w:szCs w:val="32"/>
        </w:rPr>
        <w:t>三是严控严管强化法制建设。</w:t>
      </w:r>
      <w:r>
        <w:rPr>
          <w:rFonts w:hint="eastAsia" w:ascii="Times New Roman" w:hAnsi="Times New Roman" w:eastAsia="方正仿宋_GBK"/>
          <w:sz w:val="32"/>
          <w:szCs w:val="32"/>
        </w:rPr>
        <w:t>抓实机构编制法治宣传。制定贯彻落实《中央编委关于加强机构编制违规违纪违法行为预防教育的指导意见》任务清单，开展预防教育2次；组织机构编制学法普法竞赛，参与度100%，综合得分率95%以上；制作《中国共产党机构编制政策解读》视频，在巴州党建、巴州发布等平台播放。严把议事协调机构关口。严格区级议事协调机构审核把关，调查统计95个议事协调机构2022年度工作开展情况，调整12个机构的组成人员，撤销议事协调机构2个，新增专项工作组2个，数量稳中有降，设置趋于规范，运行更加高效。强化事业单位监督管理。公示事业单位法人年度报告377个，公示率和完成率均为100%；完成机关赋码和事业单位设立、变更、注销登记事项90余项。</w:t>
      </w:r>
    </w:p>
    <w:p>
      <w:pPr>
        <w:pStyle w:val="2"/>
        <w:spacing w:after="0"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效益指标：</w:t>
      </w:r>
      <w:r>
        <w:rPr>
          <w:rFonts w:hint="eastAsia" w:ascii="Times New Roman" w:hAnsi="Times New Roman" w:eastAsia="方正仿宋_GBK"/>
          <w:sz w:val="32"/>
          <w:szCs w:val="32"/>
        </w:rPr>
        <w:t>五</w:t>
      </w:r>
      <w:r>
        <w:rPr>
          <w:rFonts w:ascii="Times New Roman" w:hAnsi="Times New Roman" w:eastAsia="方正仿宋_GBK"/>
          <w:sz w:val="32"/>
          <w:szCs w:val="32"/>
        </w:rPr>
        <w:t>个项目的社会效益指标均按照年初计划执行，做到</w:t>
      </w:r>
      <w:r>
        <w:rPr>
          <w:rFonts w:hint="eastAsia" w:ascii="Times New Roman" w:hAnsi="Times New Roman" w:eastAsia="方正仿宋_GBK"/>
          <w:sz w:val="32"/>
          <w:szCs w:val="32"/>
        </w:rPr>
        <w:t>了不断深化改革创新、优化资源配置、强化监督管理、加强自身建设</w:t>
      </w:r>
      <w:r>
        <w:rPr>
          <w:rFonts w:ascii="Times New Roman" w:hAnsi="Times New Roman" w:eastAsia="方正仿宋_GBK"/>
          <w:sz w:val="32"/>
          <w:szCs w:val="32"/>
        </w:rPr>
        <w:t>。</w:t>
      </w:r>
    </w:p>
    <w:p>
      <w:pPr>
        <w:pStyle w:val="2"/>
        <w:spacing w:after="0"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满意度指标：服务对象满意度大于等于9</w:t>
      </w:r>
      <w:r>
        <w:rPr>
          <w:rFonts w:hint="eastAsia" w:ascii="Times New Roman" w:hAnsi="Times New Roman" w:eastAsia="方正仿宋_GBK"/>
          <w:sz w:val="32"/>
          <w:szCs w:val="32"/>
        </w:rPr>
        <w:t>9</w:t>
      </w:r>
      <w:r>
        <w:rPr>
          <w:rFonts w:ascii="Times New Roman" w:hAnsi="Times New Roman" w:eastAsia="方正仿宋_GBK"/>
          <w:sz w:val="32"/>
          <w:szCs w:val="32"/>
        </w:rPr>
        <w:t>%。</w:t>
      </w:r>
    </w:p>
    <w:p>
      <w:pPr>
        <w:pStyle w:val="2"/>
        <w:spacing w:after="0"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成本指标：预算金额内完成项目。</w:t>
      </w:r>
    </w:p>
    <w:p>
      <w:pPr>
        <w:pStyle w:val="2"/>
        <w:numPr>
          <w:ilvl w:val="0"/>
          <w:numId w:val="5"/>
        </w:numPr>
        <w:spacing w:after="0" w:line="52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存在的问题</w:t>
      </w:r>
    </w:p>
    <w:p>
      <w:pPr>
        <w:pStyle w:val="2"/>
        <w:spacing w:after="0"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2023年本单位整体支出绩效目标监控任务达成，不存在未完成原因分析</w:t>
      </w:r>
      <w:r>
        <w:rPr>
          <w:rFonts w:hint="eastAsia" w:ascii="Times New Roman" w:hAnsi="Times New Roman" w:eastAsia="方正仿宋_GBK"/>
          <w:sz w:val="32"/>
          <w:szCs w:val="32"/>
        </w:rPr>
        <w:t>。</w:t>
      </w:r>
    </w:p>
    <w:p>
      <w:pPr>
        <w:pStyle w:val="2"/>
        <w:numPr>
          <w:ilvl w:val="0"/>
          <w:numId w:val="5"/>
        </w:numPr>
        <w:spacing w:after="0" w:line="52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下一步改进工作的举措</w:t>
      </w:r>
    </w:p>
    <w:p>
      <w:pPr>
        <w:pStyle w:val="2"/>
        <w:spacing w:after="0"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w:t>
      </w:r>
      <w:r>
        <w:rPr>
          <w:rFonts w:ascii="Times New Roman" w:hAnsi="Times New Roman" w:eastAsia="方正仿宋_GBK"/>
          <w:sz w:val="32"/>
          <w:szCs w:val="32"/>
        </w:rPr>
        <w:t>加强监管，做到监管机制环环相扣，不出现断层；</w:t>
      </w:r>
      <w:r>
        <w:rPr>
          <w:rFonts w:hint="eastAsia" w:ascii="Times New Roman" w:hAnsi="Times New Roman" w:eastAsia="方正仿宋_GBK"/>
          <w:sz w:val="32"/>
          <w:szCs w:val="32"/>
        </w:rPr>
        <w:t>二是</w:t>
      </w:r>
      <w:r>
        <w:rPr>
          <w:rFonts w:ascii="Times New Roman" w:hAnsi="Times New Roman" w:eastAsia="方正仿宋_GBK"/>
          <w:sz w:val="32"/>
          <w:szCs w:val="32"/>
        </w:rPr>
        <w:t>建立健全财政绩效评价体系，加强工作人员的业务培训和信息化建设，加大绩效评价结果的运用。</w:t>
      </w:r>
    </w:p>
    <w:p>
      <w:pPr>
        <w:pStyle w:val="2"/>
        <w:spacing w:after="0" w:line="520" w:lineRule="exact"/>
        <w:ind w:firstLine="640" w:firstLineChars="200"/>
        <w:rPr>
          <w:rFonts w:ascii="Times New Roman" w:hAnsi="Times New Roman" w:eastAsia="方正仿宋_GBK"/>
          <w:sz w:val="32"/>
          <w:szCs w:val="32"/>
        </w:rPr>
      </w:pPr>
    </w:p>
    <w:p>
      <w:pPr>
        <w:rPr>
          <w:rFonts w:ascii="Times New Roman" w:hAnsi="Times New Roman" w:eastAsia="方正仿宋_GBK"/>
          <w:sz w:val="32"/>
          <w:szCs w:val="32"/>
        </w:rPr>
      </w:pPr>
    </w:p>
    <w:p>
      <w:pPr>
        <w:pStyle w:val="2"/>
      </w:pPr>
    </w:p>
    <w:p>
      <w:pPr>
        <w:spacing w:line="520" w:lineRule="exact"/>
        <w:rPr>
          <w:rFonts w:hint="eastAsia" w:ascii="方正小标宋_GBK" w:hAnsi="方正小标宋_GBK" w:eastAsia="方正小标宋_GBK" w:cs="方正小标宋_GBK"/>
          <w:b/>
          <w:bCs/>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3"/>
      <w:bookmarkEnd w:id="55"/>
      <w:bookmarkStart w:id="56" w:name="_Toc15396619"/>
    </w:p>
    <w:p>
      <w:pPr>
        <w:pStyle w:val="4"/>
        <w:spacing w:before="0" w:after="0"/>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6"/>
    </w:p>
    <w:p>
      <w:pPr>
        <w:pStyle w:val="4"/>
        <w:spacing w:before="0" w:after="0"/>
        <w:rPr>
          <w:rFonts w:ascii="仿宋" w:hAnsi="仿宋" w:eastAsia="仿宋"/>
        </w:rPr>
      </w:pPr>
      <w:bookmarkStart w:id="57" w:name="_Toc15396620"/>
      <w:r>
        <w:rPr>
          <w:rFonts w:hint="eastAsia" w:ascii="仿宋" w:hAnsi="仿宋" w:eastAsia="仿宋"/>
          <w:b w:val="0"/>
        </w:rPr>
        <w:t>二、收</w:t>
      </w:r>
      <w:r>
        <w:rPr>
          <w:rStyle w:val="27"/>
          <w:rFonts w:hint="eastAsia" w:ascii="仿宋" w:hAnsi="仿宋" w:eastAsia="仿宋"/>
          <w:b w:val="0"/>
          <w:bCs w:val="0"/>
        </w:rPr>
        <w:t>入决算表</w:t>
      </w:r>
      <w:bookmarkEnd w:id="57"/>
    </w:p>
    <w:p>
      <w:pPr>
        <w:pStyle w:val="4"/>
        <w:spacing w:before="0" w:after="0"/>
        <w:rPr>
          <w:rFonts w:ascii="仿宋" w:hAnsi="仿宋" w:eastAsia="仿宋"/>
        </w:rPr>
      </w:pPr>
      <w:bookmarkStart w:id="58"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8"/>
    </w:p>
    <w:p>
      <w:pPr>
        <w:pStyle w:val="4"/>
        <w:spacing w:before="0" w:after="0"/>
        <w:rPr>
          <w:rFonts w:ascii="仿宋" w:hAnsi="仿宋" w:eastAsia="仿宋"/>
          <w:b w:val="0"/>
        </w:rPr>
      </w:pPr>
      <w:bookmarkStart w:id="59"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59"/>
    </w:p>
    <w:p>
      <w:pPr>
        <w:pStyle w:val="4"/>
        <w:spacing w:before="0" w:after="0"/>
        <w:rPr>
          <w:rStyle w:val="27"/>
          <w:rFonts w:ascii="仿宋" w:hAnsi="仿宋" w:eastAsia="仿宋"/>
          <w:b w:val="0"/>
          <w:bCs w:val="0"/>
        </w:rPr>
      </w:pPr>
      <w:bookmarkStart w:id="60"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60"/>
      <w:bookmarkStart w:id="61" w:name="_Toc15396624"/>
    </w:p>
    <w:p>
      <w:pPr>
        <w:pStyle w:val="4"/>
        <w:spacing w:before="0" w:after="0"/>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61"/>
    </w:p>
    <w:p>
      <w:pPr>
        <w:pStyle w:val="4"/>
        <w:spacing w:before="0" w:after="0"/>
        <w:rPr>
          <w:rFonts w:ascii="仿宋" w:hAnsi="仿宋" w:eastAsia="仿宋"/>
        </w:rPr>
      </w:pPr>
      <w:bookmarkStart w:id="62"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2"/>
    </w:p>
    <w:p>
      <w:pPr>
        <w:pStyle w:val="4"/>
        <w:spacing w:before="0" w:after="0"/>
        <w:rPr>
          <w:rFonts w:ascii="仿宋" w:hAnsi="仿宋" w:eastAsia="仿宋"/>
        </w:rPr>
      </w:pPr>
      <w:bookmarkStart w:id="63"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3"/>
    </w:p>
    <w:p>
      <w:pPr>
        <w:pStyle w:val="4"/>
        <w:spacing w:before="0" w:after="0"/>
        <w:rPr>
          <w:rFonts w:ascii="仿宋" w:hAnsi="仿宋" w:eastAsia="仿宋"/>
        </w:rPr>
      </w:pPr>
      <w:bookmarkStart w:id="64"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4"/>
    </w:p>
    <w:p>
      <w:pPr>
        <w:pStyle w:val="4"/>
        <w:spacing w:before="0" w:after="0"/>
        <w:rPr>
          <w:rFonts w:ascii="仿宋" w:hAnsi="仿宋" w:eastAsia="仿宋"/>
        </w:rPr>
      </w:pPr>
      <w:bookmarkStart w:id="65"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65"/>
    </w:p>
    <w:p>
      <w:pPr>
        <w:pStyle w:val="4"/>
        <w:spacing w:before="0" w:after="0"/>
        <w:rPr>
          <w:rFonts w:ascii="仿宋" w:hAnsi="仿宋" w:eastAsia="仿宋"/>
        </w:rPr>
      </w:pPr>
      <w:bookmarkStart w:id="66"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66"/>
    </w:p>
    <w:p>
      <w:pPr>
        <w:pStyle w:val="4"/>
        <w:spacing w:before="0" w:after="0"/>
        <w:rPr>
          <w:rFonts w:ascii="仿宋" w:hAnsi="仿宋" w:eastAsia="仿宋"/>
        </w:rPr>
      </w:pPr>
      <w:bookmarkStart w:id="67"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67"/>
    </w:p>
    <w:p>
      <w:pPr>
        <w:pStyle w:val="4"/>
        <w:spacing w:before="0" w:after="0"/>
        <w:rPr>
          <w:rStyle w:val="27"/>
          <w:rFonts w:ascii="仿宋" w:hAnsi="仿宋" w:eastAsia="仿宋"/>
          <w:b w:val="0"/>
          <w:bCs w:val="0"/>
        </w:rPr>
      </w:pPr>
      <w:bookmarkStart w:id="68"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68"/>
    </w:p>
    <w:p>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rPr>
            <w:rFonts w:hint="eastAsia"/>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2</w:t>
        </w:r>
        <w:r>
          <w:rPr>
            <w:rFonts w:ascii="Times New Roman" w:hAnsi="Times New Roman"/>
            <w:sz w:val="32"/>
            <w:szCs w:val="32"/>
          </w:rPr>
          <w:fldChar w:fldCharType="end"/>
        </w:r>
        <w:r>
          <w:rPr>
            <w:rFonts w:hint="eastAsia"/>
          </w:rPr>
          <w:t>—</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A953E"/>
    <w:multiLevelType w:val="singleLevel"/>
    <w:tmpl w:val="B05A953E"/>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1F01716"/>
    <w:multiLevelType w:val="singleLevel"/>
    <w:tmpl w:val="71F01716"/>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ZhYzg3NGUyZTQ0NTI1YmE3NGRlYzQ4OGFmNTk2MmEifQ=="/>
  </w:docVars>
  <w:rsids>
    <w:rsidRoot w:val="00F1361C"/>
    <w:rsid w:val="000222C6"/>
    <w:rsid w:val="0002549F"/>
    <w:rsid w:val="000468DB"/>
    <w:rsid w:val="00062357"/>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023D"/>
    <w:rsid w:val="00174518"/>
    <w:rsid w:val="0018106D"/>
    <w:rsid w:val="001877A7"/>
    <w:rsid w:val="00191536"/>
    <w:rsid w:val="00196687"/>
    <w:rsid w:val="001C0962"/>
    <w:rsid w:val="001D7531"/>
    <w:rsid w:val="001E35BB"/>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0C08"/>
    <w:rsid w:val="002D6D05"/>
    <w:rsid w:val="002F1818"/>
    <w:rsid w:val="002F567B"/>
    <w:rsid w:val="003216A9"/>
    <w:rsid w:val="00323F0E"/>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2A1C"/>
    <w:rsid w:val="00434489"/>
    <w:rsid w:val="00437085"/>
    <w:rsid w:val="00443880"/>
    <w:rsid w:val="004464F4"/>
    <w:rsid w:val="00471401"/>
    <w:rsid w:val="00473F31"/>
    <w:rsid w:val="0048263A"/>
    <w:rsid w:val="00487E5D"/>
    <w:rsid w:val="004A711F"/>
    <w:rsid w:val="004B199D"/>
    <w:rsid w:val="004B4690"/>
    <w:rsid w:val="004C7688"/>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9DB"/>
    <w:rsid w:val="005D468D"/>
    <w:rsid w:val="005D5CED"/>
    <w:rsid w:val="005F1A4C"/>
    <w:rsid w:val="005F6DD3"/>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4028"/>
    <w:rsid w:val="007A6824"/>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A9F"/>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4BA5"/>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7100"/>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7448"/>
    <w:rsid w:val="00DA634F"/>
    <w:rsid w:val="00DA65AC"/>
    <w:rsid w:val="00DB1913"/>
    <w:rsid w:val="00DC410D"/>
    <w:rsid w:val="00DC4738"/>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6E9D"/>
    <w:rsid w:val="00FD3CC1"/>
    <w:rsid w:val="00FF1E02"/>
    <w:rsid w:val="00FF30B4"/>
    <w:rsid w:val="02C24BB4"/>
    <w:rsid w:val="066E0107"/>
    <w:rsid w:val="07996F6E"/>
    <w:rsid w:val="090D1FF4"/>
    <w:rsid w:val="0A2032A3"/>
    <w:rsid w:val="0B23544C"/>
    <w:rsid w:val="0FFE370C"/>
    <w:rsid w:val="101860EC"/>
    <w:rsid w:val="10C055FF"/>
    <w:rsid w:val="118107EC"/>
    <w:rsid w:val="13D50BC4"/>
    <w:rsid w:val="16BB723D"/>
    <w:rsid w:val="1BE8440E"/>
    <w:rsid w:val="1D155CEE"/>
    <w:rsid w:val="1DD25C78"/>
    <w:rsid w:val="1E9F23AF"/>
    <w:rsid w:val="23860B96"/>
    <w:rsid w:val="240371BF"/>
    <w:rsid w:val="29FD04D3"/>
    <w:rsid w:val="2C8A61B5"/>
    <w:rsid w:val="2DE25544"/>
    <w:rsid w:val="2DF04E50"/>
    <w:rsid w:val="319F7F4E"/>
    <w:rsid w:val="36AA5135"/>
    <w:rsid w:val="37E16F03"/>
    <w:rsid w:val="38F4376A"/>
    <w:rsid w:val="39227290"/>
    <w:rsid w:val="3D3525D1"/>
    <w:rsid w:val="3D98207C"/>
    <w:rsid w:val="44E268DA"/>
    <w:rsid w:val="4A627F82"/>
    <w:rsid w:val="4B4F25DA"/>
    <w:rsid w:val="4BE068DB"/>
    <w:rsid w:val="4C957FEA"/>
    <w:rsid w:val="4CD62F7B"/>
    <w:rsid w:val="4D577224"/>
    <w:rsid w:val="4EAB630A"/>
    <w:rsid w:val="4ECE2238"/>
    <w:rsid w:val="52FF5BA3"/>
    <w:rsid w:val="5AF92295"/>
    <w:rsid w:val="5B3F30B2"/>
    <w:rsid w:val="5CD71FC4"/>
    <w:rsid w:val="6C4A05C8"/>
    <w:rsid w:val="6E7E3605"/>
    <w:rsid w:val="6E7E3D6B"/>
    <w:rsid w:val="6FDE89FD"/>
    <w:rsid w:val="6FF5CC65"/>
    <w:rsid w:val="715C0E4B"/>
    <w:rsid w:val="724644A7"/>
    <w:rsid w:val="72734D90"/>
    <w:rsid w:val="73AD73D5"/>
    <w:rsid w:val="73B6EB34"/>
    <w:rsid w:val="743B15E1"/>
    <w:rsid w:val="79560DF9"/>
    <w:rsid w:val="79EE5BA4"/>
    <w:rsid w:val="7A894339"/>
    <w:rsid w:val="7BB345A2"/>
    <w:rsid w:val="7E72D2D3"/>
    <w:rsid w:val="7EEF11D3"/>
    <w:rsid w:val="7FA30C79"/>
    <w:rsid w:val="7FBEB888"/>
    <w:rsid w:val="7FC96657"/>
    <w:rsid w:val="D7BE279B"/>
    <w:rsid w:val="D7CD88D2"/>
    <w:rsid w:val="D8D6DB89"/>
    <w:rsid w:val="DB6F4CAB"/>
    <w:rsid w:val="DDFA2527"/>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pPr>
      <w:spacing w:beforeLines="30"/>
    </w:pPr>
    <w:rPr>
      <w:rFonts w:ascii="仿宋_GB2312" w:eastAsia="仿宋_GB2312"/>
      <w:kern w:val="0"/>
      <w:sz w:val="30"/>
    </w:rPr>
  </w:style>
  <w:style w:type="paragraph" w:styleId="6">
    <w:name w:val="Body Text Indent"/>
    <w:basedOn w:val="1"/>
    <w:link w:val="34"/>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link w:val="35"/>
    <w:qFormat/>
    <w:uiPriority w:val="0"/>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ody text|1"/>
    <w:basedOn w:val="1"/>
    <w:qFormat/>
    <w:uiPriority w:val="0"/>
    <w:pPr>
      <w:spacing w:line="437" w:lineRule="auto"/>
      <w:ind w:firstLine="400"/>
      <w:jc w:val="left"/>
    </w:pPr>
    <w:rPr>
      <w:rFonts w:ascii="宋体" w:hAnsi="宋体" w:cs="宋体"/>
      <w:kern w:val="0"/>
      <w:sz w:val="28"/>
      <w:szCs w:val="28"/>
      <w:lang w:val="zh-TW" w:eastAsia="zh-TW" w:bidi="zh-TW"/>
    </w:rPr>
  </w:style>
  <w:style w:type="character" w:customStyle="1" w:styleId="34">
    <w:name w:val="正文文本缩进 Char"/>
    <w:basedOn w:val="15"/>
    <w:link w:val="6"/>
    <w:semiHidden/>
    <w:qFormat/>
    <w:uiPriority w:val="99"/>
    <w:rPr>
      <w:kern w:val="2"/>
      <w:sz w:val="21"/>
      <w:szCs w:val="24"/>
    </w:rPr>
  </w:style>
  <w:style w:type="character" w:customStyle="1" w:styleId="35">
    <w:name w:val="正文首行缩进 2 Char"/>
    <w:basedOn w:val="34"/>
    <w:link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a:t>
            </a:r>
          </a:p>
        </c:rich>
      </c:tx>
      <c:layout/>
      <c:overlay val="0"/>
      <c:spPr>
        <a:noFill/>
        <a:ln>
          <a:noFill/>
        </a:ln>
        <a:effectLst/>
      </c:spPr>
    </c:title>
    <c:autoTitleDeleted val="0"/>
    <c:plotArea>
      <c:layout>
        <c:manualLayout>
          <c:layoutTarget val="inner"/>
          <c:xMode val="edge"/>
          <c:yMode val="edge"/>
          <c:x val="0.028735632183908"/>
          <c:y val="0.30329618211999"/>
          <c:w val="0.942528735632184"/>
          <c:h val="0.596348114773536"/>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dLbl>
              <c:idx val="0"/>
              <c:layout>
                <c:manualLayout>
                  <c:x val="-0.00653082549634274"/>
                  <c:y val="-0.09485416172634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62068965517241"/>
                  <c:y val="-0.08679155797960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239.08</c:v>
                </c:pt>
                <c:pt idx="1">
                  <c:v>283.53</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2022年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444"/>
        <c:overlap val="-90"/>
        <c:axId val="51121152"/>
        <c:axId val="55031680"/>
      </c:barChart>
      <c:catAx>
        <c:axId val="51121152"/>
        <c:scaling>
          <c:orientation val="minMax"/>
        </c:scaling>
        <c:delete val="0"/>
        <c:axPos val="b"/>
        <c:majorGridlines>
          <c:spPr>
            <a:ln w="9525" cap="flat" cmpd="sng" algn="ctr">
              <a:solidFill>
                <a:schemeClr val="tx1">
                  <a:lumMod val="15000"/>
                  <a:lumOff val="85000"/>
                </a:schemeClr>
              </a:solidFill>
              <a:prstDash val="solid"/>
              <a:round/>
            </a:ln>
            <a:effectLst/>
          </c:spPr>
        </c:majorGridlines>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55031680"/>
        <c:crosses val="autoZero"/>
        <c:auto val="1"/>
        <c:lblAlgn val="ctr"/>
        <c:lblOffset val="100"/>
        <c:noMultiLvlLbl val="0"/>
      </c:catAx>
      <c:valAx>
        <c:axId val="55031680"/>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121152"/>
        <c:crosses val="autoZero"/>
        <c:crossBetween val="between"/>
      </c:valAx>
      <c:spPr>
        <a:noFill/>
        <a:ln>
          <a:noFill/>
        </a:ln>
        <a:effectLst/>
      </c:spPr>
    </c:plotArea>
    <c:legend>
      <c:legendPos val="t"/>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一般公共预算收入</c:v>
                </c:pt>
                <c:pt idx="1">
                  <c:v>政府性基金预算财政拨款收入</c:v>
                </c:pt>
                <c:pt idx="2">
                  <c:v>国有资本经营预算财政拨款收入</c:v>
                </c:pt>
                <c:pt idx="3">
                  <c:v>事业收入</c:v>
                </c:pt>
                <c:pt idx="4">
                  <c:v>附属单位上缴收入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219.08</c:v>
                </c:pt>
                <c:pt idx="1">
                  <c:v>20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财政拨款收、支决算总计</a:t>
            </a:r>
          </a:p>
        </c:rich>
      </c:tx>
      <c:layout/>
      <c:overlay val="0"/>
      <c:spPr>
        <a:noFill/>
        <a:ln>
          <a:noFill/>
        </a:ln>
        <a:effectLst/>
      </c:spPr>
    </c:title>
    <c:autoTitleDeleted val="0"/>
    <c:plotArea>
      <c:layout>
        <c:manualLayout>
          <c:layoutTarget val="inner"/>
          <c:xMode val="edge"/>
          <c:yMode val="edge"/>
          <c:x val="0.0265672032456485"/>
          <c:y val="0.283666969972702"/>
          <c:w val="0.942415914147363"/>
          <c:h val="0.612784349408553"/>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dLbl>
              <c:idx val="0"/>
              <c:layout>
                <c:manualLayout>
                  <c:x val="0"/>
                  <c:y val="-0.079617834394904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63761287789556"/>
                  <c:y val="-0.0530027297543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239.08</c:v>
                </c:pt>
                <c:pt idx="1">
                  <c:v>283.53</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2022年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444"/>
        <c:overlap val="-90"/>
        <c:axId val="146493824"/>
        <c:axId val="146522496"/>
      </c:barChart>
      <c:catAx>
        <c:axId val="146493824"/>
        <c:scaling>
          <c:orientation val="minMax"/>
        </c:scaling>
        <c:delete val="0"/>
        <c:axPos val="b"/>
        <c:majorGridlines>
          <c:spPr>
            <a:ln w="9525" cap="flat" cmpd="sng" algn="ctr">
              <a:solidFill>
                <a:schemeClr val="tx1">
                  <a:lumMod val="15000"/>
                  <a:lumOff val="85000"/>
                </a:schemeClr>
              </a:solidFill>
              <a:prstDash val="solid"/>
              <a:round/>
            </a:ln>
            <a:effectLst/>
          </c:spPr>
        </c:majorGridlines>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46522496"/>
        <c:crosses val="autoZero"/>
        <c:auto val="1"/>
        <c:lblAlgn val="ctr"/>
        <c:lblOffset val="100"/>
        <c:noMultiLvlLbl val="0"/>
      </c:catAx>
      <c:valAx>
        <c:axId val="14652249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493824"/>
        <c:crosses val="autoZero"/>
        <c:crossBetween val="between"/>
      </c:valAx>
      <c:spPr>
        <a:noFill/>
        <a:ln>
          <a:noFill/>
        </a:ln>
        <a:effectLst/>
      </c:spPr>
    </c:plotArea>
    <c:legend>
      <c:legendPos val="t"/>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239.08</c:v>
                </c:pt>
                <c:pt idx="1">
                  <c:v>283.53</c:v>
                </c:pt>
              </c:numCache>
            </c:numRef>
          </c:val>
        </c:ser>
        <c:dLbls>
          <c:showLegendKey val="0"/>
          <c:showVal val="0"/>
          <c:showCatName val="0"/>
          <c:showSerName val="0"/>
          <c:showPercent val="0"/>
          <c:showBubbleSize val="0"/>
        </c:dLbls>
        <c:gapWidth val="55"/>
        <c:overlap val="100"/>
        <c:axId val="217127168"/>
        <c:axId val="267948416"/>
      </c:barChart>
      <c:catAx>
        <c:axId val="2171271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8416"/>
        <c:crosses val="autoZero"/>
        <c:auto val="1"/>
        <c:lblAlgn val="ctr"/>
        <c:lblOffset val="100"/>
        <c:noMultiLvlLbl val="0"/>
      </c:catAx>
      <c:valAx>
        <c:axId val="2679484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12716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c:v>
                </c:pt>
                <c:pt idx="1">
                  <c:v>社会保障和就业</c:v>
                </c:pt>
                <c:pt idx="2">
                  <c:v>卫生健康</c:v>
                </c:pt>
                <c:pt idx="3">
                  <c:v>住房保障</c:v>
                </c:pt>
              </c:strCache>
            </c:strRef>
          </c:cat>
          <c:val>
            <c:numRef>
              <c:f>Sheet1!$B$2:$B$5</c:f>
              <c:numCache>
                <c:formatCode>General</c:formatCode>
                <c:ptCount val="4"/>
                <c:pt idx="0">
                  <c:v>193.21</c:v>
                </c:pt>
                <c:pt idx="1">
                  <c:v>20.05</c:v>
                </c:pt>
                <c:pt idx="2">
                  <c:v>9.49</c:v>
                </c:pt>
                <c:pt idx="3">
                  <c:v>16.33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1460</Words>
  <Characters>8325</Characters>
  <Lines>69</Lines>
  <Paragraphs>19</Paragraphs>
  <TotalTime>4</TotalTime>
  <ScaleCrop>false</ScaleCrop>
  <LinksUpToDate>false</LinksUpToDate>
  <CharactersWithSpaces>9766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wlj</cp:lastModifiedBy>
  <cp:lastPrinted>2022-08-09T09:11:00Z</cp:lastPrinted>
  <dcterms:modified xsi:type="dcterms:W3CDTF">2024-11-25T11:51:00Z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F6B60EF909754648AF3D782538AFA888</vt:lpwstr>
  </property>
</Properties>
</file>