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0BB78">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0" w:name="_Toc15396475"/>
      <w:bookmarkStart w:id="1" w:name="_Toc15377425"/>
      <w:bookmarkStart w:id="2" w:name="_Toc15378441"/>
      <w:bookmarkStart w:id="3" w:name="_Toc15377193"/>
      <w:bookmarkStart w:id="4" w:name="_Toc15396597"/>
      <w:bookmarkStart w:id="5" w:name="_Toc15306267"/>
    </w:p>
    <w:p w14:paraId="3DD013C9">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p>
    <w:p w14:paraId="7E8D6846">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14:paraId="286A560B">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6" w:name="_Toc15396598"/>
      <w:bookmarkStart w:id="7" w:name="_Toc15306268"/>
      <w:bookmarkStart w:id="8" w:name="_Toc15396476"/>
      <w:bookmarkStart w:id="9" w:name="_Toc15377194"/>
      <w:bookmarkStart w:id="10" w:name="_Toc15377426"/>
      <w:bookmarkStart w:id="11" w:name="_Toc15378442"/>
      <w:r>
        <w:rPr>
          <w:rFonts w:hint="eastAsia" w:ascii="方正小标宋简体" w:hAnsi="方正小标宋简体" w:eastAsia="方正小标宋简体" w:cs="方正小标宋简体"/>
          <w:color w:val="auto"/>
          <w:sz w:val="72"/>
          <w:szCs w:val="72"/>
          <w:highlight w:val="none"/>
          <w:lang w:val="en-US" w:eastAsia="zh-CN"/>
        </w:rPr>
        <w:t>中共巴中市巴州区委</w:t>
      </w:r>
    </w:p>
    <w:p w14:paraId="1E1FA69A">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val="en-US" w:eastAsia="zh-CN"/>
        </w:rPr>
        <w:t>宣传部</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14:paraId="0B7C43C7">
      <w:pPr>
        <w:widowControl/>
        <w:ind w:firstLine="720" w:firstLineChars="200"/>
        <w:jc w:val="left"/>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08E59796">
      <w:pPr>
        <w:pStyle w:val="6"/>
        <w:ind w:firstLine="560" w:firstLineChars="200"/>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31</w:t>
      </w:r>
      <w:r>
        <w:rPr>
          <w:rFonts w:hint="eastAsia"/>
        </w:rPr>
        <w:t>日</w:t>
      </w:r>
    </w:p>
    <w:p w14:paraId="6C52D576">
      <w:pPr>
        <w:pStyle w:val="6"/>
        <w:adjustRightInd w:val="0"/>
        <w:snapToGrid w:val="0"/>
        <w:spacing w:before="0" w:line="440" w:lineRule="exact"/>
        <w:ind w:firstLine="480" w:firstLineChars="200"/>
        <w:jc w:val="left"/>
        <w:rPr>
          <w:rFonts w:cstheme="minorBidi"/>
          <w:sz w:val="24"/>
          <w:szCs w:val="24"/>
        </w:rPr>
      </w:pPr>
      <w:r>
        <w:rPr>
          <w:rFonts w:hint="eastAsia"/>
          <w:sz w:val="24"/>
        </w:rPr>
        <w:t>第一部分</w:t>
      </w:r>
      <w:r>
        <w:rPr>
          <w:sz w:val="24"/>
        </w:rPr>
        <w:t xml:space="preserve"> </w:t>
      </w:r>
      <w:r>
        <w:rPr>
          <w:rFonts w:hint="eastAsia"/>
          <w:sz w:val="24"/>
        </w:rPr>
        <w:t>单位概况</w:t>
      </w:r>
    </w:p>
    <w:p w14:paraId="5E11E45E">
      <w:pPr>
        <w:pStyle w:val="13"/>
        <w:adjustRightInd w:val="0"/>
        <w:snapToGrid w:val="0"/>
        <w:spacing w:line="440" w:lineRule="exact"/>
        <w:ind w:firstLine="480" w:firstLineChars="200"/>
        <w:jc w:val="left"/>
        <w:rPr>
          <w:sz w:val="24"/>
        </w:rPr>
      </w:pPr>
      <w:r>
        <w:rPr>
          <w:rFonts w:hint="eastAsia"/>
          <w:sz w:val="24"/>
        </w:rPr>
        <w:t>一、主要职责</w:t>
      </w:r>
    </w:p>
    <w:p w14:paraId="77CB0D9A">
      <w:pPr>
        <w:pStyle w:val="13"/>
        <w:adjustRightInd w:val="0"/>
        <w:snapToGrid w:val="0"/>
        <w:spacing w:line="440" w:lineRule="exact"/>
        <w:ind w:firstLine="480" w:firstLineChars="200"/>
        <w:jc w:val="left"/>
      </w:pPr>
      <w:r>
        <w:rPr>
          <w:rFonts w:hint="eastAsia"/>
          <w:sz w:val="24"/>
        </w:rPr>
        <w:t>二、机构设置</w:t>
      </w:r>
    </w:p>
    <w:p w14:paraId="12B5E4BD">
      <w:pPr>
        <w:pStyle w:val="6"/>
        <w:adjustRightInd w:val="0"/>
        <w:snapToGrid w:val="0"/>
        <w:spacing w:before="0" w:line="440" w:lineRule="exact"/>
        <w:ind w:firstLine="480" w:firstLineChars="200"/>
        <w:jc w:val="left"/>
        <w:rPr>
          <w:sz w:val="24"/>
          <w:szCs w:val="24"/>
        </w:rPr>
      </w:pPr>
      <w:r>
        <w:rPr>
          <w:rFonts w:hint="eastAsia"/>
          <w:sz w:val="24"/>
        </w:rPr>
        <w:t>第二部分 2023年度单位决算情况说明</w:t>
      </w:r>
    </w:p>
    <w:p w14:paraId="5C1B3050">
      <w:pPr>
        <w:pStyle w:val="13"/>
        <w:adjustRightInd w:val="0"/>
        <w:snapToGrid w:val="0"/>
        <w:spacing w:line="440" w:lineRule="exact"/>
        <w:ind w:firstLine="480" w:firstLineChars="200"/>
        <w:jc w:val="left"/>
        <w:rPr>
          <w:rFonts w:ascii="仿宋" w:hAnsi="仿宋" w:eastAsia="仿宋" w:cstheme="minorBidi"/>
          <w:sz w:val="24"/>
        </w:rPr>
      </w:pPr>
      <w:r>
        <w:rPr>
          <w:rFonts w:hint="eastAsia"/>
          <w:sz w:val="24"/>
        </w:rPr>
        <w:t>一、收入支出决算总体情况说明</w:t>
      </w:r>
    </w:p>
    <w:p w14:paraId="2D4DC277">
      <w:pPr>
        <w:pStyle w:val="13"/>
        <w:adjustRightInd w:val="0"/>
        <w:snapToGrid w:val="0"/>
        <w:spacing w:line="440" w:lineRule="exact"/>
        <w:ind w:firstLine="480" w:firstLineChars="200"/>
        <w:jc w:val="left"/>
        <w:rPr>
          <w:rFonts w:ascii="仿宋" w:hAnsi="仿宋" w:eastAsia="仿宋" w:cstheme="minorBidi"/>
          <w:sz w:val="24"/>
        </w:rPr>
      </w:pPr>
      <w:r>
        <w:rPr>
          <w:rFonts w:hint="eastAsia"/>
          <w:sz w:val="24"/>
        </w:rPr>
        <w:t>二、收入决算情况说明</w:t>
      </w:r>
    </w:p>
    <w:p w14:paraId="2214D430">
      <w:pPr>
        <w:pStyle w:val="13"/>
        <w:adjustRightInd w:val="0"/>
        <w:snapToGrid w:val="0"/>
        <w:spacing w:line="440" w:lineRule="exact"/>
        <w:ind w:firstLine="480" w:firstLineChars="200"/>
        <w:jc w:val="left"/>
        <w:rPr>
          <w:rFonts w:ascii="仿宋" w:hAnsi="仿宋" w:eastAsia="仿宋" w:cstheme="minorBidi"/>
          <w:sz w:val="24"/>
        </w:rPr>
      </w:pPr>
      <w:r>
        <w:rPr>
          <w:rFonts w:hint="eastAsia"/>
          <w:sz w:val="24"/>
        </w:rPr>
        <w:t>三、支出决算情况说明</w:t>
      </w:r>
    </w:p>
    <w:p w14:paraId="634018E4">
      <w:pPr>
        <w:pStyle w:val="13"/>
        <w:adjustRightInd w:val="0"/>
        <w:snapToGrid w:val="0"/>
        <w:spacing w:line="440" w:lineRule="exact"/>
        <w:ind w:firstLine="480" w:firstLineChars="200"/>
        <w:jc w:val="left"/>
        <w:rPr>
          <w:rFonts w:ascii="仿宋" w:hAnsi="仿宋" w:eastAsia="仿宋" w:cstheme="minorBidi"/>
          <w:sz w:val="24"/>
        </w:rPr>
      </w:pPr>
      <w:r>
        <w:rPr>
          <w:rFonts w:hint="eastAsia"/>
          <w:sz w:val="24"/>
        </w:rPr>
        <w:t>四、财政拨款收入支出决算总体情况说明</w:t>
      </w:r>
    </w:p>
    <w:p w14:paraId="1C20B939">
      <w:pPr>
        <w:pStyle w:val="13"/>
        <w:adjustRightInd w:val="0"/>
        <w:snapToGrid w:val="0"/>
        <w:spacing w:line="440" w:lineRule="exact"/>
        <w:ind w:firstLine="480" w:firstLineChars="200"/>
        <w:jc w:val="left"/>
        <w:rPr>
          <w:rFonts w:ascii="仿宋" w:hAnsi="仿宋" w:eastAsia="仿宋" w:cstheme="minorBidi"/>
          <w:sz w:val="24"/>
        </w:rPr>
      </w:pPr>
      <w:r>
        <w:rPr>
          <w:rFonts w:hint="eastAsia"/>
          <w:sz w:val="24"/>
        </w:rPr>
        <w:t>五、一般公共预算财政拨款支出决算情况说明</w:t>
      </w:r>
    </w:p>
    <w:p w14:paraId="428437DC">
      <w:pPr>
        <w:pStyle w:val="13"/>
        <w:adjustRightInd w:val="0"/>
        <w:snapToGrid w:val="0"/>
        <w:spacing w:line="440" w:lineRule="exact"/>
        <w:ind w:firstLine="480" w:firstLineChars="200"/>
        <w:jc w:val="left"/>
        <w:rPr>
          <w:rFonts w:ascii="仿宋" w:hAnsi="仿宋" w:eastAsia="仿宋" w:cstheme="minorBidi"/>
          <w:sz w:val="24"/>
        </w:rPr>
      </w:pPr>
      <w:r>
        <w:rPr>
          <w:rFonts w:hint="eastAsia"/>
          <w:sz w:val="24"/>
        </w:rPr>
        <w:t>六、一般公共预算财政拨款基本支出决算情况说明</w:t>
      </w:r>
    </w:p>
    <w:p w14:paraId="62D1493B">
      <w:pPr>
        <w:pStyle w:val="13"/>
        <w:adjustRightInd w:val="0"/>
        <w:snapToGrid w:val="0"/>
        <w:spacing w:line="440" w:lineRule="exact"/>
        <w:ind w:firstLine="480" w:firstLineChars="200"/>
        <w:jc w:val="left"/>
        <w:rPr>
          <w:rFonts w:ascii="仿宋" w:hAnsi="仿宋" w:eastAsia="仿宋" w:cstheme="minorBidi"/>
          <w:sz w:val="24"/>
        </w:rPr>
      </w:pPr>
      <w:r>
        <w:rPr>
          <w:rFonts w:hint="eastAsia"/>
          <w:sz w:val="24"/>
        </w:rPr>
        <w:t>七、财政拨款“三公”经费支出决算情况说明</w:t>
      </w:r>
    </w:p>
    <w:p w14:paraId="2E8AB2CA">
      <w:pPr>
        <w:pStyle w:val="13"/>
        <w:adjustRightInd w:val="0"/>
        <w:snapToGrid w:val="0"/>
        <w:spacing w:line="440" w:lineRule="exact"/>
        <w:ind w:firstLine="480" w:firstLineChars="200"/>
        <w:jc w:val="left"/>
        <w:rPr>
          <w:rFonts w:ascii="仿宋" w:hAnsi="仿宋" w:eastAsia="仿宋" w:cstheme="minorBidi"/>
          <w:sz w:val="24"/>
        </w:rPr>
      </w:pPr>
      <w:r>
        <w:rPr>
          <w:rFonts w:hint="eastAsia"/>
          <w:sz w:val="24"/>
        </w:rPr>
        <w:t>八、政府性基金预算支出决算情况说明</w:t>
      </w:r>
    </w:p>
    <w:p w14:paraId="6AE5B278">
      <w:pPr>
        <w:pStyle w:val="13"/>
        <w:adjustRightInd w:val="0"/>
        <w:snapToGrid w:val="0"/>
        <w:spacing w:line="440" w:lineRule="exact"/>
        <w:ind w:firstLine="480" w:firstLineChars="200"/>
        <w:jc w:val="left"/>
        <w:rPr>
          <w:sz w:val="24"/>
        </w:rPr>
      </w:pPr>
      <w:r>
        <w:rPr>
          <w:rFonts w:hint="eastAsia"/>
          <w:sz w:val="24"/>
        </w:rPr>
        <w:t>九、国有资本经营预算支出决算情况说明</w:t>
      </w:r>
    </w:p>
    <w:p w14:paraId="261FF6F5">
      <w:pPr>
        <w:pStyle w:val="13"/>
        <w:adjustRightInd w:val="0"/>
        <w:snapToGrid w:val="0"/>
        <w:spacing w:line="440" w:lineRule="exact"/>
        <w:ind w:firstLine="480" w:firstLineChars="200"/>
        <w:jc w:val="left"/>
        <w:rPr>
          <w:sz w:val="24"/>
        </w:rPr>
      </w:pPr>
      <w:r>
        <w:rPr>
          <w:rFonts w:hint="eastAsia"/>
          <w:sz w:val="24"/>
        </w:rPr>
        <w:t>十、其他重要事项的情况说明</w:t>
      </w:r>
    </w:p>
    <w:p w14:paraId="747414EC">
      <w:pPr>
        <w:pStyle w:val="6"/>
        <w:adjustRightInd w:val="0"/>
        <w:snapToGrid w:val="0"/>
        <w:spacing w:before="0" w:line="440" w:lineRule="exact"/>
        <w:ind w:firstLine="480" w:firstLineChars="200"/>
        <w:jc w:val="left"/>
        <w:rPr>
          <w:rFonts w:cstheme="minorBidi"/>
          <w:sz w:val="24"/>
          <w:szCs w:val="24"/>
        </w:rPr>
      </w:pPr>
      <w:r>
        <w:rPr>
          <w:rFonts w:hint="eastAsia"/>
          <w:sz w:val="24"/>
        </w:rPr>
        <w:t>第三部分</w:t>
      </w:r>
      <w:r>
        <w:rPr>
          <w:sz w:val="24"/>
        </w:rPr>
        <w:t xml:space="preserve"> </w:t>
      </w:r>
      <w:r>
        <w:rPr>
          <w:rFonts w:hint="eastAsia"/>
          <w:sz w:val="24"/>
        </w:rPr>
        <w:t>名词解释</w:t>
      </w:r>
    </w:p>
    <w:p w14:paraId="4EC43296">
      <w:pPr>
        <w:pStyle w:val="6"/>
        <w:adjustRightInd w:val="0"/>
        <w:snapToGrid w:val="0"/>
        <w:spacing w:before="0" w:line="440" w:lineRule="exact"/>
        <w:ind w:firstLine="480" w:firstLineChars="200"/>
        <w:jc w:val="left"/>
        <w:rPr>
          <w:rFonts w:cstheme="minorBidi"/>
          <w:sz w:val="24"/>
          <w:szCs w:val="24"/>
        </w:rPr>
      </w:pPr>
      <w:r>
        <w:rPr>
          <w:rFonts w:hint="eastAsia"/>
          <w:sz w:val="24"/>
        </w:rPr>
        <w:t>第四部分</w:t>
      </w:r>
      <w:r>
        <w:rPr>
          <w:sz w:val="24"/>
        </w:rPr>
        <w:t xml:space="preserve"> </w:t>
      </w:r>
      <w:r>
        <w:rPr>
          <w:rFonts w:hint="eastAsia"/>
          <w:sz w:val="24"/>
        </w:rPr>
        <w:t>附件</w:t>
      </w:r>
    </w:p>
    <w:p w14:paraId="538BB351">
      <w:pPr>
        <w:pStyle w:val="6"/>
        <w:adjustRightInd w:val="0"/>
        <w:snapToGrid w:val="0"/>
        <w:spacing w:before="0" w:line="440" w:lineRule="exact"/>
        <w:ind w:firstLine="480" w:firstLineChars="200"/>
        <w:jc w:val="left"/>
        <w:rPr>
          <w:rFonts w:cstheme="minorBidi"/>
          <w:sz w:val="24"/>
          <w:szCs w:val="24"/>
        </w:rPr>
      </w:pPr>
      <w:r>
        <w:rPr>
          <w:rFonts w:hint="eastAsia"/>
          <w:sz w:val="24"/>
        </w:rPr>
        <w:t>第五部分</w:t>
      </w:r>
      <w:r>
        <w:rPr>
          <w:sz w:val="24"/>
        </w:rPr>
        <w:t xml:space="preserve"> </w:t>
      </w:r>
      <w:r>
        <w:rPr>
          <w:rFonts w:hint="eastAsia"/>
          <w:sz w:val="24"/>
        </w:rPr>
        <w:t>附表</w:t>
      </w:r>
    </w:p>
    <w:p w14:paraId="32975F88">
      <w:pPr>
        <w:pStyle w:val="13"/>
        <w:adjustRightInd w:val="0"/>
        <w:snapToGrid w:val="0"/>
        <w:spacing w:line="440" w:lineRule="exact"/>
        <w:ind w:firstLine="480" w:firstLineChars="200"/>
        <w:jc w:val="left"/>
        <w:rPr>
          <w:sz w:val="24"/>
        </w:rPr>
      </w:pPr>
      <w:r>
        <w:rPr>
          <w:rFonts w:hint="eastAsia"/>
          <w:sz w:val="24"/>
        </w:rPr>
        <w:t>一、收入支出决算总表</w:t>
      </w:r>
    </w:p>
    <w:p w14:paraId="5DB71AC6">
      <w:pPr>
        <w:pStyle w:val="13"/>
        <w:adjustRightInd w:val="0"/>
        <w:snapToGrid w:val="0"/>
        <w:spacing w:line="440" w:lineRule="exact"/>
        <w:ind w:firstLine="480" w:firstLineChars="200"/>
        <w:jc w:val="left"/>
        <w:rPr>
          <w:sz w:val="24"/>
        </w:rPr>
      </w:pPr>
      <w:r>
        <w:rPr>
          <w:rFonts w:hint="eastAsia"/>
          <w:sz w:val="24"/>
        </w:rPr>
        <w:t>二、收入决算表</w:t>
      </w:r>
    </w:p>
    <w:p w14:paraId="057D2B5C">
      <w:pPr>
        <w:pStyle w:val="13"/>
        <w:adjustRightInd w:val="0"/>
        <w:snapToGrid w:val="0"/>
        <w:spacing w:line="440" w:lineRule="exact"/>
        <w:ind w:firstLine="480" w:firstLineChars="200"/>
        <w:jc w:val="left"/>
        <w:rPr>
          <w:sz w:val="24"/>
        </w:rPr>
      </w:pPr>
      <w:r>
        <w:rPr>
          <w:rFonts w:hint="eastAsia"/>
          <w:sz w:val="24"/>
        </w:rPr>
        <w:t>三、支出决算表</w:t>
      </w:r>
    </w:p>
    <w:p w14:paraId="5E69F2F1">
      <w:pPr>
        <w:pStyle w:val="13"/>
        <w:adjustRightInd w:val="0"/>
        <w:snapToGrid w:val="0"/>
        <w:spacing w:line="440" w:lineRule="exact"/>
        <w:ind w:firstLine="480" w:firstLineChars="200"/>
        <w:jc w:val="left"/>
        <w:rPr>
          <w:sz w:val="24"/>
        </w:rPr>
      </w:pPr>
      <w:r>
        <w:rPr>
          <w:rFonts w:hint="eastAsia"/>
          <w:sz w:val="24"/>
        </w:rPr>
        <w:t>四、财政拨款收入支出决算总表</w:t>
      </w:r>
    </w:p>
    <w:p w14:paraId="6911D143">
      <w:pPr>
        <w:pStyle w:val="13"/>
        <w:adjustRightInd w:val="0"/>
        <w:snapToGrid w:val="0"/>
        <w:spacing w:line="440" w:lineRule="exact"/>
        <w:ind w:firstLine="480" w:firstLineChars="200"/>
        <w:jc w:val="left"/>
        <w:rPr>
          <w:sz w:val="24"/>
        </w:rPr>
      </w:pPr>
      <w:r>
        <w:rPr>
          <w:rFonts w:hint="eastAsia"/>
          <w:sz w:val="24"/>
        </w:rPr>
        <w:t>五、财政拨款支出决算明细表</w:t>
      </w:r>
    </w:p>
    <w:p w14:paraId="122476F8">
      <w:pPr>
        <w:pStyle w:val="13"/>
        <w:adjustRightInd w:val="0"/>
        <w:snapToGrid w:val="0"/>
        <w:spacing w:line="440" w:lineRule="exact"/>
        <w:ind w:firstLine="480" w:firstLineChars="200"/>
        <w:jc w:val="left"/>
        <w:rPr>
          <w:sz w:val="24"/>
        </w:rPr>
      </w:pPr>
      <w:r>
        <w:rPr>
          <w:rFonts w:hint="eastAsia"/>
          <w:sz w:val="24"/>
        </w:rPr>
        <w:t>六、一般公共预算财政拨款支出决算表</w:t>
      </w:r>
    </w:p>
    <w:p w14:paraId="3A16E3A2">
      <w:pPr>
        <w:pStyle w:val="13"/>
        <w:adjustRightInd w:val="0"/>
        <w:snapToGrid w:val="0"/>
        <w:spacing w:line="440" w:lineRule="exact"/>
        <w:ind w:firstLine="480" w:firstLineChars="200"/>
        <w:jc w:val="left"/>
        <w:rPr>
          <w:sz w:val="24"/>
        </w:rPr>
      </w:pPr>
      <w:r>
        <w:rPr>
          <w:rFonts w:hint="eastAsia"/>
          <w:sz w:val="24"/>
        </w:rPr>
        <w:t>七、一般公共预算财政拨款支出决算明细表</w:t>
      </w:r>
    </w:p>
    <w:p w14:paraId="0A0BDA67">
      <w:pPr>
        <w:pStyle w:val="13"/>
        <w:adjustRightInd w:val="0"/>
        <w:snapToGrid w:val="0"/>
        <w:spacing w:line="440" w:lineRule="exact"/>
        <w:ind w:firstLine="480" w:firstLineChars="200"/>
        <w:jc w:val="left"/>
        <w:rPr>
          <w:sz w:val="24"/>
        </w:rPr>
      </w:pPr>
      <w:r>
        <w:rPr>
          <w:rFonts w:hint="eastAsia"/>
          <w:sz w:val="24"/>
        </w:rPr>
        <w:t>八、一般公共预算财政拨款基本支出决算明细表</w:t>
      </w:r>
    </w:p>
    <w:p w14:paraId="58C161CB">
      <w:pPr>
        <w:pStyle w:val="13"/>
        <w:adjustRightInd w:val="0"/>
        <w:snapToGrid w:val="0"/>
        <w:spacing w:line="440" w:lineRule="exact"/>
        <w:ind w:firstLine="480" w:firstLineChars="200"/>
        <w:jc w:val="left"/>
        <w:rPr>
          <w:sz w:val="24"/>
        </w:rPr>
      </w:pPr>
      <w:r>
        <w:rPr>
          <w:rFonts w:hint="eastAsia"/>
          <w:sz w:val="24"/>
        </w:rPr>
        <w:t>九、一般公共预算财政拨款项目支出决算表</w:t>
      </w:r>
    </w:p>
    <w:p w14:paraId="3E12085B">
      <w:pPr>
        <w:pStyle w:val="13"/>
        <w:adjustRightInd w:val="0"/>
        <w:snapToGrid w:val="0"/>
        <w:spacing w:line="440" w:lineRule="exact"/>
        <w:ind w:firstLine="480" w:firstLineChars="200"/>
        <w:jc w:val="left"/>
        <w:rPr>
          <w:sz w:val="24"/>
        </w:rPr>
      </w:pPr>
      <w:r>
        <w:rPr>
          <w:rFonts w:hint="eastAsia"/>
          <w:sz w:val="24"/>
        </w:rPr>
        <w:t>十、政府性基金预算财政拨款收入支出决算表</w:t>
      </w:r>
    </w:p>
    <w:p w14:paraId="3DABD88D">
      <w:pPr>
        <w:pStyle w:val="13"/>
        <w:adjustRightInd w:val="0"/>
        <w:snapToGrid w:val="0"/>
        <w:spacing w:line="440" w:lineRule="exact"/>
        <w:ind w:firstLine="480" w:firstLineChars="200"/>
        <w:jc w:val="left"/>
        <w:rPr>
          <w:sz w:val="24"/>
        </w:rPr>
      </w:pPr>
      <w:r>
        <w:rPr>
          <w:rFonts w:hint="eastAsia"/>
          <w:sz w:val="24"/>
        </w:rPr>
        <w:t>十一、国有资本经营预算财政拨款收入支出决算表</w:t>
      </w:r>
    </w:p>
    <w:p w14:paraId="5CE9A773">
      <w:pPr>
        <w:pStyle w:val="13"/>
        <w:adjustRightInd w:val="0"/>
        <w:snapToGrid w:val="0"/>
        <w:spacing w:line="440" w:lineRule="exact"/>
        <w:ind w:firstLine="480" w:firstLineChars="200"/>
        <w:jc w:val="left"/>
        <w:rPr>
          <w:sz w:val="24"/>
        </w:rPr>
      </w:pPr>
      <w:r>
        <w:rPr>
          <w:rFonts w:hint="eastAsia"/>
          <w:sz w:val="24"/>
        </w:rPr>
        <w:t>十二、国有资本经营预算财政拨款支出决算表</w:t>
      </w:r>
    </w:p>
    <w:p w14:paraId="4C0A0242">
      <w:pPr>
        <w:pStyle w:val="13"/>
        <w:adjustRightInd w:val="0"/>
        <w:snapToGrid w:val="0"/>
        <w:spacing w:line="440" w:lineRule="exact"/>
        <w:ind w:firstLine="480" w:firstLineChars="200"/>
        <w:jc w:val="left"/>
        <w:rPr>
          <w:sz w:val="24"/>
        </w:rPr>
      </w:pPr>
      <w:r>
        <w:rPr>
          <w:rFonts w:hint="eastAsia"/>
          <w:sz w:val="24"/>
        </w:rPr>
        <w:t>十三、财政拨款“三公”经费支出决算表</w:t>
      </w:r>
    </w:p>
    <w:p w14:paraId="04D1B90B">
      <w:pPr>
        <w:widowControl/>
        <w:spacing w:line="440" w:lineRule="exact"/>
        <w:ind w:firstLine="482" w:firstLineChars="200"/>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7A3226FD">
      <w:pPr>
        <w:pStyle w:val="2"/>
        <w:ind w:firstLine="880" w:firstLineChars="200"/>
        <w:jc w:val="center"/>
        <w:rPr>
          <w:rFonts w:ascii="黑体" w:eastAsia="黑体"/>
          <w:sz w:val="32"/>
          <w:szCs w:val="32"/>
        </w:rPr>
      </w:pPr>
      <w:r>
        <w:rPr>
          <w:rFonts w:hint="eastAsia" w:ascii="黑体" w:hAnsi="黑体" w:eastAsia="黑体"/>
          <w:b w:val="0"/>
        </w:rPr>
        <w:t>第一部分 单位</w:t>
      </w:r>
      <w:r>
        <w:rPr>
          <w:rStyle w:val="29"/>
          <w:rFonts w:hint="eastAsia" w:ascii="黑体" w:hAnsi="黑体" w:eastAsia="黑体"/>
          <w:b w:val="0"/>
          <w:bCs w:val="0"/>
        </w:rPr>
        <w:t>概况</w:t>
      </w:r>
      <w:bookmarkEnd w:id="12"/>
      <w:bookmarkEnd w:id="13"/>
    </w:p>
    <w:p w14:paraId="06A18C8D">
      <w:pPr>
        <w:pStyle w:val="3"/>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Style w:val="30"/>
          <w:rFonts w:ascii="黑体" w:hAnsi="黑体" w:eastAsia="黑体"/>
          <w:b w:val="0"/>
          <w:bCs w:val="0"/>
        </w:rPr>
      </w:pPr>
      <w:bookmarkStart w:id="14" w:name="_Toc15377197"/>
      <w:bookmarkStart w:id="15" w:name="_Toc15396600"/>
      <w:r>
        <w:rPr>
          <w:rStyle w:val="30"/>
          <w:rFonts w:hint="eastAsia" w:ascii="黑体" w:hAnsi="黑体" w:eastAsia="黑体"/>
          <w:b w:val="0"/>
          <w:bCs w:val="0"/>
        </w:rPr>
        <w:t>主要职责</w:t>
      </w:r>
    </w:p>
    <w:p w14:paraId="0ECA5D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color w:val="0C0C0C"/>
          <w:sz w:val="32"/>
          <w:szCs w:val="32"/>
          <w:lang w:val="en-US"/>
        </w:rPr>
      </w:pPr>
      <w:bookmarkStart w:id="16" w:name="_Toc15378445"/>
      <w:bookmarkStart w:id="17" w:name="_Toc15377198"/>
      <w:r>
        <w:rPr>
          <w:rFonts w:hint="eastAsia" w:ascii="仿宋_GB2312" w:hAnsi="仿宋_GB2312" w:eastAsia="仿宋_GB2312" w:cs="仿宋_GB2312"/>
          <w:bCs/>
          <w:color w:val="auto"/>
          <w:sz w:val="32"/>
          <w:szCs w:val="32"/>
          <w:highlight w:val="none"/>
        </w:rPr>
        <w:t>（一）主要职能。</w:t>
      </w:r>
      <w:bookmarkEnd w:id="16"/>
      <w:bookmarkEnd w:id="17"/>
      <w:r>
        <w:rPr>
          <w:rFonts w:hint="eastAsia" w:ascii="仿宋_GB2312" w:hAnsi="仿宋_GB2312" w:eastAsia="仿宋_GB2312" w:cs="仿宋_GB2312"/>
          <w:color w:val="0C0C0C"/>
          <w:kern w:val="2"/>
          <w:sz w:val="32"/>
          <w:szCs w:val="32"/>
          <w:lang w:val="en-US" w:eastAsia="zh-CN" w:bidi="ar"/>
        </w:rPr>
        <w:t>1.拟订全区宣传思想文化工作重大政策和事业产业发展总体规划，统筹协调推进宣传思想文化领域法治建设，按照区委统一部署，协调宣传思想文化系统各部门（单位）之间的工作。</w:t>
      </w:r>
    </w:p>
    <w:p w14:paraId="4734C2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color w:val="0C0C0C"/>
          <w:sz w:val="32"/>
          <w:szCs w:val="32"/>
          <w:lang w:val="en-US"/>
        </w:rPr>
      </w:pPr>
      <w:r>
        <w:rPr>
          <w:rFonts w:hint="eastAsia" w:ascii="仿宋_GB2312" w:hAnsi="仿宋_GB2312" w:eastAsia="仿宋_GB2312" w:cs="仿宋_GB2312"/>
          <w:color w:val="0C0C0C"/>
          <w:kern w:val="2"/>
          <w:sz w:val="32"/>
          <w:szCs w:val="32"/>
          <w:lang w:val="en-US" w:eastAsia="zh-CN" w:bidi="ar"/>
        </w:rPr>
        <w:t>2.统筹协调全区党的意识形态工作，贯彻落实党中央、省委、市委和区委关于意识形态工作的决策部署，组织协调意识形态工作责任制落实和日常监督检查，分析研判意识形态领域情况，配合巡视巡察工作开展专项检查。</w:t>
      </w:r>
    </w:p>
    <w:p w14:paraId="63363F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color w:val="0C0C0C"/>
          <w:sz w:val="32"/>
          <w:szCs w:val="32"/>
          <w:lang w:val="en-US"/>
        </w:rPr>
      </w:pPr>
      <w:r>
        <w:rPr>
          <w:rFonts w:hint="eastAsia" w:ascii="仿宋_GB2312" w:hAnsi="仿宋_GB2312" w:eastAsia="仿宋_GB2312" w:cs="仿宋_GB2312"/>
          <w:color w:val="0C0C0C"/>
          <w:kern w:val="2"/>
          <w:sz w:val="32"/>
          <w:szCs w:val="32"/>
          <w:lang w:val="en-US" w:eastAsia="zh-CN" w:bidi="ar"/>
        </w:rPr>
        <w:t>3.统筹指导协调理论研究、理论学习、理论宣传工作，组织推动理论武装工作，指导推动哲学社会科学工作，实施马克思主义理论研究和建设工程。</w:t>
      </w:r>
    </w:p>
    <w:p w14:paraId="624707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color w:val="0C0C0C"/>
          <w:sz w:val="32"/>
          <w:szCs w:val="32"/>
          <w:lang w:val="en-US"/>
        </w:rPr>
      </w:pPr>
      <w:r>
        <w:rPr>
          <w:rFonts w:hint="eastAsia" w:ascii="仿宋_GB2312" w:hAnsi="仿宋_GB2312" w:eastAsia="仿宋_GB2312" w:cs="仿宋_GB2312"/>
          <w:color w:val="0C0C0C"/>
          <w:kern w:val="2"/>
          <w:sz w:val="32"/>
          <w:szCs w:val="32"/>
          <w:lang w:val="en-US" w:eastAsia="zh-CN" w:bidi="ar"/>
        </w:rPr>
        <w:t>4.负责规划组织全局性思想政治工作，配合区委组织部做好党员教育工作，会同有关部门研究和改进群众思想教育工作。组织重大先进典型的学习和推广。</w:t>
      </w:r>
    </w:p>
    <w:p w14:paraId="709D23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color w:val="0C0C0C"/>
          <w:sz w:val="32"/>
          <w:szCs w:val="32"/>
          <w:lang w:val="en-US"/>
        </w:rPr>
      </w:pPr>
      <w:r>
        <w:rPr>
          <w:rFonts w:hint="eastAsia" w:ascii="仿宋_GB2312" w:hAnsi="仿宋_GB2312" w:eastAsia="仿宋_GB2312" w:cs="仿宋_GB2312"/>
          <w:color w:val="0C0C0C"/>
          <w:kern w:val="2"/>
          <w:sz w:val="32"/>
          <w:szCs w:val="32"/>
          <w:lang w:val="en-US" w:eastAsia="zh-CN" w:bidi="ar"/>
        </w:rPr>
        <w:t>5.统筹指导协调推动精神文化产品的创作和生产，协调组织中华优秀传统文化传承发展工作，指导协调推动群众文化建设。</w:t>
      </w:r>
    </w:p>
    <w:p w14:paraId="006C7E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color w:val="0C0C0C"/>
          <w:sz w:val="32"/>
          <w:szCs w:val="32"/>
          <w:lang w:val="en-US"/>
        </w:rPr>
      </w:pPr>
      <w:r>
        <w:rPr>
          <w:rFonts w:hint="eastAsia" w:ascii="仿宋_GB2312" w:hAnsi="仿宋_GB2312" w:eastAsia="仿宋_GB2312" w:cs="仿宋_GB2312"/>
          <w:color w:val="0C0C0C"/>
          <w:kern w:val="2"/>
          <w:sz w:val="32"/>
          <w:szCs w:val="32"/>
          <w:lang w:val="en-US" w:eastAsia="zh-CN" w:bidi="ar"/>
        </w:rPr>
        <w:t>6.统筹组织协调精神文明建设工作，协调推动群众性精神文明创建、公民思想道德建设和志愿服务工作。</w:t>
      </w:r>
    </w:p>
    <w:p w14:paraId="372941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color w:val="0C0C0C"/>
          <w:sz w:val="32"/>
          <w:szCs w:val="32"/>
          <w:lang w:val="en-US"/>
        </w:rPr>
      </w:pPr>
      <w:r>
        <w:rPr>
          <w:rFonts w:hint="eastAsia" w:ascii="仿宋_GB2312" w:hAnsi="仿宋_GB2312" w:eastAsia="仿宋_GB2312" w:cs="仿宋_GB2312"/>
          <w:color w:val="0C0C0C"/>
          <w:kern w:val="2"/>
          <w:sz w:val="32"/>
          <w:szCs w:val="32"/>
          <w:lang w:val="en-US" w:eastAsia="zh-CN" w:bidi="ar"/>
        </w:rPr>
        <w:t>7.统筹分析研判和引导社会舆论，指导协调区级新闻单位工作，负责组织协调重大新闻宣传活动和重大突发公共事件应急新闻工作。</w:t>
      </w:r>
    </w:p>
    <w:p w14:paraId="25324A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color w:val="0C0C0C"/>
          <w:sz w:val="32"/>
          <w:szCs w:val="32"/>
          <w:lang w:val="en-US"/>
        </w:rPr>
      </w:pPr>
      <w:r>
        <w:rPr>
          <w:rFonts w:hint="eastAsia" w:ascii="仿宋_GB2312" w:hAnsi="仿宋_GB2312" w:eastAsia="仿宋_GB2312" w:cs="仿宋_GB2312"/>
          <w:color w:val="0C0C0C"/>
          <w:kern w:val="2"/>
          <w:sz w:val="32"/>
          <w:szCs w:val="32"/>
          <w:lang w:val="en-US" w:eastAsia="zh-CN" w:bidi="ar"/>
        </w:rPr>
        <w:t>8.统筹协调对外宣传工作，组织指导重大对外宣传活动和对外文化交流工作。负责联系中央、省、市和区外新闻单位及驻巴机构，会同有关部门做好境外来访记者采访事务方面的工作。</w:t>
      </w:r>
    </w:p>
    <w:p w14:paraId="210798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0C0C0C"/>
          <w:kern w:val="2"/>
          <w:sz w:val="32"/>
          <w:szCs w:val="32"/>
          <w:lang w:val="en-US" w:eastAsia="zh-CN" w:bidi="ar"/>
        </w:rPr>
      </w:pPr>
      <w:r>
        <w:rPr>
          <w:rFonts w:hint="eastAsia" w:ascii="仿宋_GB2312" w:hAnsi="仿宋_GB2312" w:eastAsia="仿宋_GB2312" w:cs="仿宋_GB2312"/>
          <w:color w:val="0C0C0C"/>
          <w:kern w:val="2"/>
          <w:sz w:val="32"/>
          <w:szCs w:val="32"/>
          <w:lang w:val="en-US" w:eastAsia="zh-CN" w:bidi="ar"/>
        </w:rPr>
        <w:t>9.负责人权宣传工作的组织协调，会同有关部门组织涉及反邪教等方面的对外宣传和舆论斗争工作。</w:t>
      </w:r>
    </w:p>
    <w:p w14:paraId="230308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0C0C0C"/>
          <w:sz w:val="32"/>
          <w:szCs w:val="32"/>
          <w:lang w:val="en-US"/>
        </w:rPr>
      </w:pPr>
      <w:r>
        <w:rPr>
          <w:rFonts w:hint="eastAsia" w:ascii="仿宋_GB2312" w:hAnsi="仿宋_GB2312" w:eastAsia="仿宋_GB2312" w:cs="仿宋_GB2312"/>
          <w:color w:val="0C0C0C"/>
          <w:kern w:val="2"/>
          <w:sz w:val="32"/>
          <w:szCs w:val="32"/>
          <w:lang w:val="en-US" w:eastAsia="zh-CN" w:bidi="ar"/>
        </w:rPr>
        <w:t>10.统筹协调全区网络安全和信息化工作，组织研究拟订全区网络安全和信息化发展规划和重大政策。宏观指导网络舆情信息有关工作等。负责互联网安全、信息内容监督管理执法。指导和管理互联网违法和不良信息举报工作。</w:t>
      </w:r>
    </w:p>
    <w:p w14:paraId="30BA3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0C0C0C"/>
          <w:kern w:val="2"/>
          <w:sz w:val="32"/>
          <w:szCs w:val="32"/>
          <w:lang w:val="en-US" w:eastAsia="zh-CN" w:bidi="ar"/>
        </w:rPr>
      </w:pPr>
      <w:r>
        <w:rPr>
          <w:rFonts w:hint="eastAsia" w:ascii="仿宋_GB2312" w:hAnsi="仿宋_GB2312" w:eastAsia="仿宋_GB2312" w:cs="仿宋_GB2312"/>
          <w:color w:val="0C0C0C"/>
          <w:kern w:val="2"/>
          <w:sz w:val="32"/>
          <w:szCs w:val="32"/>
          <w:lang w:val="en-US" w:eastAsia="zh-CN" w:bidi="ar"/>
        </w:rPr>
        <w:t>11.统筹指导舆情信息工作，组织协调开展舆情信息收集分析研判工作，跟踪了解、研究掌握宣传舆情动态。统筹协调网络意识形态工作，负责指导、督促、检查网络意识形态工作责任制的贯彻落实，组织开展网络意识形态工作专题督查。统筹协调新媒体的建设与管理。</w:t>
      </w:r>
    </w:p>
    <w:p w14:paraId="3EFD79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0C0C0C"/>
          <w:sz w:val="32"/>
          <w:szCs w:val="32"/>
          <w:lang w:val="en-US"/>
        </w:rPr>
      </w:pPr>
      <w:r>
        <w:rPr>
          <w:rFonts w:hint="eastAsia" w:ascii="仿宋_GB2312" w:hAnsi="仿宋_GB2312" w:eastAsia="仿宋_GB2312" w:cs="仿宋_GB2312"/>
          <w:color w:val="0C0C0C"/>
          <w:kern w:val="2"/>
          <w:sz w:val="32"/>
          <w:szCs w:val="32"/>
          <w:lang w:val="en-US" w:eastAsia="zh-CN" w:bidi="ar"/>
        </w:rPr>
        <w:t>12.统筹协调组织开展新闻发布工作，承担区委新闻发布有关组织协调工作，负责区政府新闻发布组织实施工作，指导区委、区政府各部门（单位）和乡镇（街道办事处）新闻发布工作，推动新闻发言人制度建设。拟订全区重大问题宣传口径。</w:t>
      </w:r>
    </w:p>
    <w:p w14:paraId="1DFBBE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0C0C0C"/>
          <w:sz w:val="32"/>
          <w:szCs w:val="32"/>
          <w:lang w:val="en-US"/>
        </w:rPr>
      </w:pPr>
      <w:r>
        <w:rPr>
          <w:rFonts w:hint="eastAsia" w:ascii="仿宋_GB2312" w:hAnsi="仿宋_GB2312" w:eastAsia="仿宋_GB2312" w:cs="仿宋_GB2312"/>
          <w:color w:val="0C0C0C"/>
          <w:kern w:val="2"/>
          <w:sz w:val="32"/>
          <w:szCs w:val="32"/>
          <w:lang w:val="en-US" w:eastAsia="zh-CN" w:bidi="ar"/>
        </w:rPr>
        <w:t>13.对新闻出版、文化艺术、广播电视、电影和旅游业改革发展研究提出政策性建议，统筹指导推进文化体制改革和文化事业、文化产业及旅游业发展，统筹区属国有文化资产监管工作，组织研究区属国有文化资产监管重大政策，会同有关单位负责相关工作开展。</w:t>
      </w:r>
    </w:p>
    <w:p w14:paraId="1B08BC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0C0C0C"/>
          <w:sz w:val="32"/>
          <w:szCs w:val="32"/>
          <w:lang w:val="en-US"/>
        </w:rPr>
      </w:pPr>
      <w:r>
        <w:rPr>
          <w:rFonts w:hint="eastAsia" w:ascii="仿宋_GB2312" w:hAnsi="仿宋_GB2312" w:eastAsia="仿宋_GB2312" w:cs="仿宋_GB2312"/>
          <w:color w:val="0C0C0C"/>
          <w:kern w:val="2"/>
          <w:sz w:val="32"/>
          <w:szCs w:val="32"/>
          <w:lang w:val="en-US" w:eastAsia="zh-CN" w:bidi="ar"/>
        </w:rPr>
        <w:t>14.负责管理新闻出版行政事务和所涉及的行政审批工作，监督管理出版物内容和质量，监督管理印刷业，管理著作权等。组织指导协调“扫黄打非”工作。负责中央、省、市和区外新闻媒体驻巴机构的监督管理。负责新闻记者证管理工作。</w:t>
      </w:r>
    </w:p>
    <w:p w14:paraId="0758D1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FF0000"/>
          <w:kern w:val="2"/>
          <w:sz w:val="32"/>
          <w:szCs w:val="32"/>
          <w:lang w:val="en-US" w:eastAsia="zh-CN" w:bidi="ar"/>
        </w:rPr>
      </w:pPr>
      <w:r>
        <w:rPr>
          <w:rFonts w:hint="eastAsia" w:ascii="仿宋_GB2312" w:hAnsi="仿宋_GB2312" w:eastAsia="仿宋_GB2312" w:cs="仿宋_GB2312"/>
          <w:color w:val="0C0C0C"/>
          <w:kern w:val="2"/>
          <w:sz w:val="32"/>
          <w:szCs w:val="32"/>
          <w:lang w:val="en-US" w:eastAsia="zh-CN" w:bidi="ar"/>
        </w:rPr>
        <w:t>15.负责管理电影行政事务和所涉及的行政审批、监督管理工作，指导协调和参与重大电影活动和电影对外合作交流等。</w:t>
      </w:r>
    </w:p>
    <w:p w14:paraId="678C71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0C0C0C"/>
          <w:sz w:val="32"/>
          <w:szCs w:val="32"/>
          <w:lang w:val="en-US"/>
        </w:rPr>
      </w:pPr>
      <w:r>
        <w:rPr>
          <w:rFonts w:hint="eastAsia" w:ascii="仿宋_GB2312" w:hAnsi="仿宋_GB2312" w:eastAsia="仿宋_GB2312" w:cs="仿宋_GB2312"/>
          <w:color w:val="0C0C0C"/>
          <w:kern w:val="2"/>
          <w:sz w:val="32"/>
          <w:szCs w:val="32"/>
          <w:lang w:val="en-US" w:eastAsia="zh-CN" w:bidi="ar"/>
        </w:rPr>
        <w:t>16.受区委委托，会同区委组织部管理文化旅游、新闻、出版、广播电视、电影、社会科学研究和互联网信息等方面区直宣传思想文化单位的领导干部。协助区委管理宣传系统干部。对乡镇宣传委员的任免提出意见。负责有关重要宣传舆论阵地和重要岗位领导干部管理。负责组织开展宣传思想文化战线干部教育培训和人才工作。</w:t>
      </w:r>
    </w:p>
    <w:p w14:paraId="23EC65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0C0C0C"/>
          <w:sz w:val="32"/>
          <w:szCs w:val="32"/>
          <w:lang w:val="en-US"/>
        </w:rPr>
      </w:pPr>
      <w:r>
        <w:rPr>
          <w:rFonts w:hint="eastAsia" w:ascii="仿宋_GB2312" w:hAnsi="仿宋_GB2312" w:eastAsia="仿宋_GB2312" w:cs="仿宋_GB2312"/>
          <w:color w:val="0C0C0C"/>
          <w:kern w:val="2"/>
          <w:sz w:val="32"/>
          <w:szCs w:val="32"/>
          <w:lang w:val="en-US" w:eastAsia="zh-CN" w:bidi="ar"/>
        </w:rPr>
        <w:t>17.归口领导区文化广播电视和旅游局、区文旅融合发展服务中心等宣传思想文化和旅游单位。受区委委托，代管区文联、区作协、区社科联、区政研会、区融媒体中心等宣传思想文化和旅游单位。</w:t>
      </w:r>
    </w:p>
    <w:p w14:paraId="5E0768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0C0C0C"/>
          <w:sz w:val="32"/>
          <w:szCs w:val="32"/>
          <w:lang w:val="en-US"/>
        </w:rPr>
      </w:pPr>
      <w:r>
        <w:rPr>
          <w:rFonts w:hint="eastAsia" w:ascii="仿宋_GB2312" w:hAnsi="仿宋_GB2312" w:eastAsia="仿宋_GB2312" w:cs="仿宋_GB2312"/>
          <w:color w:val="0C0C0C"/>
          <w:kern w:val="2"/>
          <w:sz w:val="32"/>
          <w:szCs w:val="32"/>
          <w:lang w:val="en-US" w:eastAsia="zh-CN" w:bidi="ar"/>
        </w:rPr>
        <w:t>18.</w:t>
      </w:r>
      <w:r>
        <w:rPr>
          <w:rFonts w:hint="eastAsia" w:ascii="仿宋_GB2312" w:hAnsi="仿宋_GB2312" w:eastAsia="仿宋_GB2312" w:cs="仿宋_GB2312"/>
          <w:kern w:val="2"/>
          <w:sz w:val="32"/>
          <w:szCs w:val="32"/>
          <w:lang w:val="en-US" w:eastAsia="zh-CN" w:bidi="ar"/>
        </w:rPr>
        <w:t>承担区委网络安全和信息化委员会、区精神文明建设委员会、区委宣传思想工作领导小组、区“扫黄打非”工作领导小组、区文化体制改革和文化产业发展工作领导小组、区属国有文化资产监督管理委员会等的日常工作。</w:t>
      </w:r>
    </w:p>
    <w:p w14:paraId="6C4C2E39">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kern w:val="2"/>
          <w:sz w:val="32"/>
          <w:szCs w:val="32"/>
          <w:lang w:val="en-US" w:eastAsia="zh-CN" w:bidi="ar"/>
        </w:rPr>
        <w:t>19.完成区委交办的其他任务。</w:t>
      </w:r>
    </w:p>
    <w:p w14:paraId="61F4420D">
      <w:pPr>
        <w:pStyle w:val="3"/>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 w:val="0"/>
        </w:rPr>
      </w:pPr>
      <w:r>
        <w:rPr>
          <w:rFonts w:hint="eastAsia" w:ascii="黑体" w:hAnsi="黑体" w:eastAsia="黑体"/>
          <w:b w:val="0"/>
        </w:rPr>
        <w:t>二、机构设置</w:t>
      </w:r>
    </w:p>
    <w:p w14:paraId="6E1BF1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2"/>
          <w:sz w:val="32"/>
          <w:szCs w:val="32"/>
          <w:lang w:val="zh-CN" w:eastAsia="zh-CN" w:bidi="ar"/>
        </w:rPr>
      </w:pPr>
      <w:r>
        <w:rPr>
          <w:rFonts w:hint="eastAsia" w:ascii="仿宋_GB2312" w:hAnsi="仿宋_GB2312" w:eastAsia="仿宋_GB2312" w:cs="仿宋_GB2312"/>
          <w:kern w:val="2"/>
          <w:sz w:val="32"/>
          <w:szCs w:val="32"/>
          <w:lang w:val="en-US" w:eastAsia="zh-CN" w:bidi="ar"/>
        </w:rPr>
        <w:t>区委宣传部</w:t>
      </w:r>
      <w:r>
        <w:rPr>
          <w:rFonts w:hint="eastAsia" w:ascii="仿宋_GB2312" w:hAnsi="仿宋_GB2312" w:eastAsia="仿宋_GB2312" w:cs="仿宋_GB2312"/>
          <w:kern w:val="2"/>
          <w:sz w:val="32"/>
          <w:szCs w:val="32"/>
          <w:lang w:val="zh-CN" w:eastAsia="zh-CN" w:bidi="ar"/>
        </w:rPr>
        <w:t>共有直属事业单位4个：区网络安全和信息化服务中心（机构规格：</w:t>
      </w:r>
      <w:r>
        <w:rPr>
          <w:rFonts w:hint="eastAsia" w:ascii="仿宋_GB2312" w:hAnsi="仿宋_GB2312" w:eastAsia="仿宋_GB2312" w:cs="仿宋_GB2312"/>
          <w:kern w:val="2"/>
          <w:sz w:val="32"/>
          <w:szCs w:val="32"/>
          <w:lang w:val="en-US" w:eastAsia="zh-CN" w:bidi="ar"/>
        </w:rPr>
        <w:t>副科级</w:t>
      </w:r>
      <w:r>
        <w:rPr>
          <w:rFonts w:hint="eastAsia" w:ascii="仿宋_GB2312" w:hAnsi="仿宋_GB2312" w:eastAsia="仿宋_GB2312" w:cs="仿宋_GB2312"/>
          <w:kern w:val="2"/>
          <w:sz w:val="32"/>
          <w:szCs w:val="32"/>
          <w:lang w:val="zh-CN" w:eastAsia="zh-CN" w:bidi="ar"/>
        </w:rPr>
        <w:t>），区思研会（机构规格：</w:t>
      </w:r>
      <w:r>
        <w:rPr>
          <w:rFonts w:hint="eastAsia" w:ascii="仿宋_GB2312" w:hAnsi="仿宋_GB2312" w:eastAsia="仿宋_GB2312" w:cs="仿宋_GB2312"/>
          <w:kern w:val="2"/>
          <w:sz w:val="32"/>
          <w:szCs w:val="32"/>
          <w:lang w:val="en-US" w:eastAsia="zh-CN" w:bidi="ar"/>
        </w:rPr>
        <w:t>正科级</w:t>
      </w:r>
      <w:r>
        <w:rPr>
          <w:rFonts w:hint="eastAsia" w:ascii="仿宋_GB2312" w:hAnsi="仿宋_GB2312" w:eastAsia="仿宋_GB2312" w:cs="仿宋_GB2312"/>
          <w:kern w:val="2"/>
          <w:sz w:val="32"/>
          <w:szCs w:val="32"/>
          <w:lang w:val="zh-CN" w:eastAsia="zh-CN" w:bidi="ar"/>
        </w:rPr>
        <w:t>）、区社科联（机构规格：</w:t>
      </w:r>
      <w:r>
        <w:rPr>
          <w:rFonts w:hint="eastAsia" w:ascii="仿宋_GB2312" w:hAnsi="仿宋_GB2312" w:eastAsia="仿宋_GB2312" w:cs="仿宋_GB2312"/>
          <w:kern w:val="2"/>
          <w:sz w:val="32"/>
          <w:szCs w:val="32"/>
          <w:lang w:val="en-US" w:eastAsia="zh-CN" w:bidi="ar"/>
        </w:rPr>
        <w:t>正科级</w:t>
      </w:r>
      <w:r>
        <w:rPr>
          <w:rFonts w:hint="eastAsia" w:ascii="仿宋_GB2312" w:hAnsi="仿宋_GB2312" w:eastAsia="仿宋_GB2312" w:cs="仿宋_GB2312"/>
          <w:kern w:val="2"/>
          <w:sz w:val="32"/>
          <w:szCs w:val="32"/>
          <w:lang w:val="zh-CN" w:eastAsia="zh-CN" w:bidi="ar"/>
        </w:rPr>
        <w:t>）、区文联（机构规格：</w:t>
      </w:r>
      <w:r>
        <w:rPr>
          <w:rFonts w:hint="eastAsia" w:ascii="仿宋_GB2312" w:hAnsi="仿宋_GB2312" w:eastAsia="仿宋_GB2312" w:cs="仿宋_GB2312"/>
          <w:kern w:val="2"/>
          <w:sz w:val="32"/>
          <w:szCs w:val="32"/>
          <w:lang w:val="en-US" w:eastAsia="zh-CN" w:bidi="ar"/>
        </w:rPr>
        <w:t>正科级</w:t>
      </w:r>
      <w:r>
        <w:rPr>
          <w:rFonts w:hint="eastAsia" w:ascii="仿宋_GB2312" w:hAnsi="仿宋_GB2312" w:eastAsia="仿宋_GB2312" w:cs="仿宋_GB2312"/>
          <w:kern w:val="2"/>
          <w:sz w:val="32"/>
          <w:szCs w:val="32"/>
          <w:lang w:val="zh-CN" w:eastAsia="zh-CN" w:bidi="ar"/>
        </w:rPr>
        <w:t>），代管事业单位1个：区融媒体中心。</w:t>
      </w:r>
    </w:p>
    <w:p w14:paraId="180155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纳入2023</w:t>
      </w:r>
      <w:bookmarkStart w:id="60" w:name="_GoBack"/>
      <w:bookmarkEnd w:id="60"/>
      <w:r>
        <w:rPr>
          <w:rFonts w:hint="eastAsia" w:ascii="仿宋_GB2312" w:hAnsi="仿宋_GB2312" w:eastAsia="仿宋_GB2312" w:cs="仿宋_GB2312"/>
          <w:kern w:val="2"/>
          <w:sz w:val="32"/>
          <w:szCs w:val="32"/>
          <w:lang w:val="en-US" w:eastAsia="zh-CN" w:bidi="ar"/>
        </w:rPr>
        <w:t>年度部门决算编制范围的二级预算单位包括：</w:t>
      </w:r>
    </w:p>
    <w:p w14:paraId="3A6381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kern w:val="2"/>
          <w:sz w:val="32"/>
          <w:szCs w:val="32"/>
          <w:lang w:val="zh-CN" w:eastAsia="zh-CN" w:bidi="ar"/>
        </w:rPr>
      </w:pPr>
      <w:bookmarkStart w:id="18" w:name="_Toc15306276"/>
      <w:bookmarkStart w:id="19" w:name="_Toc15377433"/>
      <w:bookmarkStart w:id="20" w:name="_Toc15378449"/>
      <w:bookmarkStart w:id="21" w:name="_Toc15377202"/>
      <w:r>
        <w:rPr>
          <w:rFonts w:hint="eastAsia" w:ascii="仿宋_GB2312" w:hAnsi="仿宋_GB2312" w:eastAsia="仿宋_GB2312" w:cs="仿宋_GB2312"/>
          <w:kern w:val="2"/>
          <w:sz w:val="32"/>
          <w:szCs w:val="32"/>
          <w:lang w:val="zh-CN" w:eastAsia="zh-CN" w:bidi="ar"/>
        </w:rPr>
        <w:t>区网络安全和信息化服务中心</w:t>
      </w:r>
      <w:bookmarkEnd w:id="18"/>
      <w:bookmarkEnd w:id="19"/>
      <w:bookmarkEnd w:id="20"/>
      <w:bookmarkEnd w:id="21"/>
      <w:r>
        <w:rPr>
          <w:rFonts w:hint="eastAsia" w:ascii="仿宋_GB2312" w:hAnsi="仿宋_GB2312" w:eastAsia="仿宋_GB2312" w:cs="仿宋_GB2312"/>
          <w:kern w:val="2"/>
          <w:sz w:val="32"/>
          <w:szCs w:val="32"/>
          <w:lang w:val="zh-CN" w:eastAsia="zh-CN" w:bidi="ar"/>
        </w:rPr>
        <w:t>、区思研会、区社科联、区文联。</w:t>
      </w:r>
    </w:p>
    <w:bookmarkEnd w:id="14"/>
    <w:bookmarkEnd w:id="15"/>
    <w:p w14:paraId="1197BDF8">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kern w:val="0"/>
          <w:sz w:val="32"/>
          <w:szCs w:val="32"/>
        </w:rPr>
      </w:pPr>
      <w:r>
        <w:rPr>
          <w:rFonts w:ascii="仿宋" w:hAnsi="仿宋" w:eastAsia="仿宋"/>
          <w:sz w:val="32"/>
          <w:szCs w:val="32"/>
        </w:rPr>
        <w:br w:type="page"/>
      </w:r>
    </w:p>
    <w:p w14:paraId="162E83AA">
      <w:pPr>
        <w:pStyle w:val="2"/>
        <w:ind w:right="440"/>
        <w:jc w:val="center"/>
        <w:rPr>
          <w:rStyle w:val="29"/>
          <w:rFonts w:ascii="黑体" w:hAnsi="黑体" w:eastAsia="黑体"/>
          <w:b w:val="0"/>
          <w:bCs/>
        </w:rPr>
      </w:pPr>
      <w:bookmarkStart w:id="22" w:name="_Toc15377204"/>
      <w:bookmarkStart w:id="23" w:name="_Toc15396602"/>
      <w:r>
        <w:rPr>
          <w:rFonts w:hint="eastAsia" w:ascii="黑体" w:hAnsi="黑体" w:eastAsia="黑体"/>
          <w:b w:val="0"/>
        </w:rPr>
        <w:t>第二部分 2023年度</w:t>
      </w:r>
      <w:r>
        <w:rPr>
          <w:rStyle w:val="29"/>
          <w:rFonts w:hint="eastAsia" w:ascii="黑体" w:hAnsi="黑体" w:eastAsia="黑体"/>
          <w:b w:val="0"/>
          <w:bCs/>
        </w:rPr>
        <w:t>单位决算情况说明</w:t>
      </w:r>
      <w:bookmarkEnd w:id="22"/>
      <w:bookmarkEnd w:id="23"/>
    </w:p>
    <w:p w14:paraId="35B83526">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Style w:val="30"/>
          <w:rFonts w:ascii="黑体" w:hAnsi="黑体" w:eastAsia="黑体"/>
          <w:b w:val="0"/>
        </w:rPr>
      </w:pPr>
      <w:bookmarkStart w:id="24" w:name="_Toc15377205"/>
      <w:bookmarkStart w:id="25" w:name="_Toc15396603"/>
      <w:r>
        <w:rPr>
          <w:rFonts w:hint="eastAsia" w:ascii="黑体" w:hAnsi="黑体" w:eastAsia="黑体"/>
          <w:sz w:val="32"/>
          <w:szCs w:val="32"/>
          <w:lang w:val="en-US" w:eastAsia="zh-CN"/>
        </w:rPr>
        <w:t>一、</w:t>
      </w:r>
      <w:r>
        <w:rPr>
          <w:rFonts w:hint="eastAsia" w:ascii="黑体" w:hAnsi="黑体" w:eastAsia="黑体"/>
          <w:sz w:val="32"/>
          <w:szCs w:val="32"/>
        </w:rPr>
        <w:t>收</w:t>
      </w:r>
      <w:r>
        <w:rPr>
          <w:rStyle w:val="30"/>
          <w:rFonts w:hint="eastAsia" w:ascii="黑体" w:hAnsi="黑体" w:eastAsia="黑体"/>
          <w:b w:val="0"/>
        </w:rPr>
        <w:t>入支出决算总体情况说明</w:t>
      </w:r>
      <w:bookmarkEnd w:id="24"/>
      <w:bookmarkEnd w:id="25"/>
    </w:p>
    <w:p w14:paraId="45E461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sz w:val="32"/>
          <w:szCs w:val="32"/>
        </w:rPr>
        <w:t>2023年度收、支总计均为</w:t>
      </w:r>
      <w:r>
        <w:rPr>
          <w:rFonts w:hint="eastAsia" w:ascii="仿宋" w:hAnsi="仿宋" w:eastAsia="仿宋"/>
          <w:sz w:val="32"/>
          <w:szCs w:val="32"/>
          <w:lang w:val="en-US" w:eastAsia="zh-CN"/>
        </w:rPr>
        <w:t>1521.06</w:t>
      </w:r>
      <w:r>
        <w:rPr>
          <w:rFonts w:hint="eastAsia" w:ascii="仿宋" w:hAnsi="仿宋" w:eastAsia="仿宋"/>
          <w:sz w:val="32"/>
          <w:szCs w:val="32"/>
        </w:rPr>
        <w:t>万元。与2022年度相比，收、支总计各减少</w:t>
      </w:r>
      <w:r>
        <w:rPr>
          <w:rFonts w:hint="eastAsia" w:ascii="仿宋" w:hAnsi="仿宋" w:eastAsia="仿宋"/>
          <w:sz w:val="32"/>
          <w:szCs w:val="32"/>
          <w:lang w:val="en-US" w:eastAsia="zh-CN"/>
        </w:rPr>
        <w:t>411.03</w:t>
      </w:r>
      <w:r>
        <w:rPr>
          <w:rFonts w:hint="eastAsia" w:ascii="仿宋" w:hAnsi="仿宋" w:eastAsia="仿宋"/>
          <w:sz w:val="32"/>
          <w:szCs w:val="32"/>
        </w:rPr>
        <w:t>万元，下降</w:t>
      </w:r>
      <w:r>
        <w:rPr>
          <w:rFonts w:hint="eastAsia" w:ascii="仿宋" w:hAnsi="仿宋" w:eastAsia="仿宋"/>
          <w:sz w:val="32"/>
          <w:szCs w:val="32"/>
          <w:lang w:val="en-US" w:eastAsia="zh-CN"/>
        </w:rPr>
        <w:t>21.27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项目资金减少</w:t>
      </w:r>
      <w:r>
        <w:rPr>
          <w:rFonts w:hint="eastAsia" w:ascii="仿宋" w:hAnsi="仿宋" w:eastAsia="仿宋"/>
          <w:sz w:val="32"/>
          <w:szCs w:val="32"/>
        </w:rPr>
        <w:t>。</w:t>
      </w:r>
    </w:p>
    <w:p w14:paraId="198DC739">
      <w:pPr>
        <w:pStyle w:val="12"/>
        <w:ind w:firstLine="643" w:firstLineChars="200"/>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14DE3E4">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Style w:val="30"/>
          <w:rFonts w:ascii="黑体" w:hAnsi="黑体" w:eastAsia="黑体"/>
          <w:b w:val="0"/>
        </w:rPr>
      </w:pPr>
      <w:bookmarkStart w:id="26" w:name="_Toc15396604"/>
      <w:bookmarkStart w:id="27" w:name="_Toc15377206"/>
      <w:r>
        <w:rPr>
          <w:rFonts w:hint="eastAsia" w:ascii="黑体" w:hAnsi="黑体" w:eastAsia="黑体"/>
          <w:sz w:val="32"/>
          <w:szCs w:val="32"/>
          <w:lang w:val="en-US" w:eastAsia="zh-CN"/>
        </w:rPr>
        <w:t>二、</w:t>
      </w:r>
      <w:r>
        <w:rPr>
          <w:rFonts w:hint="eastAsia" w:ascii="黑体" w:hAnsi="黑体" w:eastAsia="黑体"/>
          <w:sz w:val="32"/>
          <w:szCs w:val="32"/>
        </w:rPr>
        <w:t>收</w:t>
      </w:r>
      <w:r>
        <w:rPr>
          <w:rStyle w:val="30"/>
          <w:rFonts w:hint="eastAsia" w:ascii="黑体" w:hAnsi="黑体" w:eastAsia="黑体"/>
          <w:b w:val="0"/>
        </w:rPr>
        <w:t>入决算情况说明</w:t>
      </w:r>
      <w:bookmarkEnd w:id="26"/>
      <w:bookmarkEnd w:id="27"/>
    </w:p>
    <w:p w14:paraId="2B44B7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1521.06</w:t>
      </w:r>
      <w:r>
        <w:rPr>
          <w:rFonts w:hint="eastAsia" w:ascii="仿宋" w:hAnsi="仿宋" w:eastAsia="仿宋"/>
          <w:sz w:val="32"/>
          <w:szCs w:val="32"/>
        </w:rPr>
        <w:t>万元，其中：一般公共预算财政拨款收入</w:t>
      </w:r>
      <w:r>
        <w:rPr>
          <w:rFonts w:ascii="仿宋" w:hAnsi="仿宋" w:eastAsia="仿宋"/>
          <w:b/>
          <w:sz w:val="32"/>
          <w:szCs w:val="32"/>
        </w:rPr>
        <w:t>1323.06</w:t>
      </w:r>
      <w:r>
        <w:rPr>
          <w:rFonts w:hint="eastAsia" w:ascii="仿宋" w:hAnsi="仿宋" w:eastAsia="仿宋"/>
          <w:sz w:val="32"/>
          <w:szCs w:val="32"/>
        </w:rPr>
        <w:t>万元，占</w:t>
      </w:r>
      <w:r>
        <w:rPr>
          <w:rFonts w:ascii="仿宋" w:hAnsi="仿宋" w:eastAsia="仿宋"/>
          <w:b/>
          <w:sz w:val="32"/>
          <w:szCs w:val="32"/>
        </w:rPr>
        <w:t>86.98%</w:t>
      </w:r>
      <w:r>
        <w:rPr>
          <w:rFonts w:hint="eastAsia" w:ascii="仿宋" w:hAnsi="仿宋" w:eastAsia="仿宋"/>
          <w:sz w:val="32"/>
          <w:szCs w:val="32"/>
        </w:rPr>
        <w:t>；政府性基金预算财政拨款收入</w:t>
      </w:r>
      <w:r>
        <w:rPr>
          <w:rFonts w:ascii="仿宋" w:hAnsi="仿宋" w:eastAsia="仿宋"/>
          <w:b/>
          <w:sz w:val="32"/>
          <w:szCs w:val="32"/>
        </w:rPr>
        <w:t>198</w:t>
      </w:r>
      <w:r>
        <w:rPr>
          <w:rFonts w:hint="eastAsia" w:ascii="仿宋" w:hAnsi="仿宋" w:eastAsia="仿宋"/>
          <w:sz w:val="32"/>
          <w:szCs w:val="32"/>
        </w:rPr>
        <w:t>万元，占</w:t>
      </w:r>
      <w:r>
        <w:rPr>
          <w:rFonts w:ascii="仿宋" w:hAnsi="仿宋" w:eastAsia="仿宋"/>
          <w:b/>
          <w:sz w:val="32"/>
          <w:szCs w:val="32"/>
        </w:rPr>
        <w:t>13.01</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200C13B2">
      <w:pPr>
        <w:pStyle w:val="15"/>
        <w:ind w:firstLine="420" w:firstLineChars="200"/>
        <w:rPr>
          <w:rFonts w:ascii="仿宋_GB2312" w:eastAsia="仿宋_GB2312"/>
          <w:sz w:val="32"/>
          <w:szCs w:val="32"/>
        </w:rPr>
      </w:pPr>
      <w:r>
        <w:drawing>
          <wp:inline distT="0" distB="0" distL="114300" distR="114300">
            <wp:extent cx="4826000" cy="274320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1E4A149">
      <w:pPr>
        <w:pStyle w:val="28"/>
        <w:numPr>
          <w:ilvl w:val="0"/>
          <w:numId w:val="0"/>
        </w:numPr>
        <w:spacing w:line="600" w:lineRule="exact"/>
        <w:ind w:leftChars="200"/>
        <w:outlineLvl w:val="1"/>
        <w:rPr>
          <w:rStyle w:val="30"/>
          <w:rFonts w:ascii="黑体" w:hAnsi="黑体" w:eastAsia="黑体"/>
          <w:b w:val="0"/>
        </w:rPr>
      </w:pPr>
      <w:bookmarkStart w:id="28" w:name="_Toc15377207"/>
      <w:bookmarkStart w:id="29" w:name="_Toc15396605"/>
      <w:r>
        <w:rPr>
          <w:rFonts w:hint="eastAsia" w:ascii="黑体" w:hAnsi="黑体" w:eastAsia="黑体"/>
          <w:sz w:val="32"/>
          <w:szCs w:val="32"/>
          <w:lang w:val="en-US" w:eastAsia="zh-CN"/>
        </w:rPr>
        <w:t>三、</w:t>
      </w:r>
      <w:r>
        <w:rPr>
          <w:rFonts w:hint="eastAsia" w:ascii="黑体" w:hAnsi="黑体" w:eastAsia="黑体"/>
          <w:sz w:val="32"/>
          <w:szCs w:val="32"/>
        </w:rPr>
        <w:t>支</w:t>
      </w:r>
      <w:r>
        <w:rPr>
          <w:rStyle w:val="30"/>
          <w:rFonts w:hint="eastAsia" w:ascii="黑体" w:hAnsi="黑体" w:eastAsia="黑体"/>
          <w:b w:val="0"/>
        </w:rPr>
        <w:t>出决算情况说明</w:t>
      </w:r>
      <w:bookmarkEnd w:id="28"/>
      <w:bookmarkEnd w:id="29"/>
    </w:p>
    <w:p w14:paraId="001E5C6B">
      <w:pPr>
        <w:spacing w:line="600" w:lineRule="exact"/>
        <w:ind w:firstLine="320" w:firstLineChars="100"/>
        <w:outlineLvl w:val="1"/>
      </w:pPr>
      <w:r>
        <w:rPr>
          <w:rFonts w:hint="eastAsia" w:ascii="仿宋" w:hAnsi="仿宋" w:eastAsia="仿宋"/>
          <w:sz w:val="32"/>
          <w:szCs w:val="32"/>
        </w:rPr>
        <w:t>2023年度本年支出合计</w:t>
      </w:r>
      <w:r>
        <w:rPr>
          <w:rFonts w:ascii="仿宋" w:hAnsi="仿宋" w:eastAsia="仿宋"/>
          <w:b/>
          <w:sz w:val="32"/>
          <w:szCs w:val="32"/>
        </w:rPr>
        <w:t>1521.06</w:t>
      </w:r>
      <w:r>
        <w:rPr>
          <w:rFonts w:hint="eastAsia" w:ascii="仿宋" w:hAnsi="仿宋" w:eastAsia="仿宋"/>
          <w:sz w:val="32"/>
          <w:szCs w:val="32"/>
        </w:rPr>
        <w:t>万元，其中：基本支出</w:t>
      </w:r>
      <w:r>
        <w:rPr>
          <w:rFonts w:ascii="仿宋" w:hAnsi="仿宋" w:eastAsia="仿宋"/>
          <w:b/>
          <w:sz w:val="32"/>
          <w:szCs w:val="32"/>
        </w:rPr>
        <w:t>456.7</w:t>
      </w:r>
      <w:r>
        <w:rPr>
          <w:rFonts w:hint="eastAsia" w:ascii="仿宋" w:hAnsi="仿宋" w:eastAsia="仿宋"/>
          <w:sz w:val="32"/>
          <w:szCs w:val="32"/>
        </w:rPr>
        <w:t>万元，占</w:t>
      </w:r>
      <w:r>
        <w:rPr>
          <w:rFonts w:ascii="仿宋" w:hAnsi="仿宋" w:eastAsia="仿宋"/>
          <w:b/>
          <w:sz w:val="32"/>
          <w:szCs w:val="32"/>
        </w:rPr>
        <w:t>30.02</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1064.36</w:t>
      </w:r>
      <w:r>
        <w:rPr>
          <w:rFonts w:hint="eastAsia" w:ascii="仿宋" w:hAnsi="仿宋" w:eastAsia="仿宋"/>
          <w:sz w:val="32"/>
          <w:szCs w:val="32"/>
        </w:rPr>
        <w:t>万元，占</w:t>
      </w:r>
      <w:r>
        <w:rPr>
          <w:rFonts w:ascii="仿宋" w:hAnsi="仿宋" w:eastAsia="仿宋"/>
          <w:b/>
          <w:sz w:val="32"/>
          <w:szCs w:val="32"/>
        </w:rPr>
        <w:t>69.97</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0AA515A1">
      <w:pPr>
        <w:pStyle w:val="14"/>
        <w:ind w:firstLine="600" w:firstLineChars="200"/>
      </w:pPr>
      <w:r>
        <w:drawing>
          <wp:inline distT="0" distB="0" distL="114300" distR="114300">
            <wp:extent cx="4826000" cy="2743200"/>
            <wp:effectExtent l="4445" t="4445" r="8255" b="1460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03E659">
      <w:pPr>
        <w:spacing w:line="600" w:lineRule="exact"/>
        <w:ind w:firstLine="640" w:firstLineChars="200"/>
        <w:outlineLvl w:val="1"/>
        <w:rPr>
          <w:rStyle w:val="30"/>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30"/>
      <w:bookmarkEnd w:id="31"/>
    </w:p>
    <w:p w14:paraId="30B01766">
      <w:pPr>
        <w:spacing w:line="600" w:lineRule="exact"/>
        <w:ind w:firstLine="640" w:firstLineChars="200"/>
      </w:pPr>
      <w:r>
        <w:rPr>
          <w:rFonts w:hint="eastAsia" w:ascii="仿宋" w:hAnsi="仿宋" w:eastAsia="仿宋"/>
          <w:sz w:val="32"/>
          <w:szCs w:val="32"/>
        </w:rPr>
        <w:t>2023年度财政拨款收、支总计均为</w:t>
      </w:r>
      <w:r>
        <w:rPr>
          <w:rFonts w:ascii="仿宋" w:hAnsi="仿宋" w:eastAsia="仿宋"/>
          <w:b/>
          <w:sz w:val="32"/>
          <w:szCs w:val="32"/>
        </w:rPr>
        <w:t>1521.06</w:t>
      </w:r>
      <w:r>
        <w:rPr>
          <w:rFonts w:hint="eastAsia" w:ascii="仿宋" w:hAnsi="仿宋" w:eastAsia="仿宋"/>
          <w:sz w:val="32"/>
          <w:szCs w:val="32"/>
        </w:rPr>
        <w:t>万元。与2022年度相比，财政拨款收、支总计各</w:t>
      </w:r>
      <w:r>
        <w:rPr>
          <w:rFonts w:hint="eastAsia" w:ascii="仿宋" w:hAnsi="仿宋" w:eastAsia="仿宋"/>
          <w:sz w:val="32"/>
          <w:szCs w:val="32"/>
          <w:lang w:val="en-US" w:eastAsia="zh-CN"/>
        </w:rPr>
        <w:t>411.03</w:t>
      </w:r>
      <w:r>
        <w:rPr>
          <w:rFonts w:hint="eastAsia" w:ascii="仿宋" w:hAnsi="仿宋" w:eastAsia="仿宋"/>
          <w:sz w:val="32"/>
          <w:szCs w:val="32"/>
        </w:rPr>
        <w:t>万元，下降</w:t>
      </w:r>
      <w:r>
        <w:rPr>
          <w:rFonts w:hint="eastAsia" w:ascii="仿宋" w:hAnsi="仿宋" w:eastAsia="仿宋"/>
          <w:sz w:val="32"/>
          <w:szCs w:val="32"/>
          <w:lang w:val="en-US" w:eastAsia="zh-CN"/>
        </w:rPr>
        <w:t>21.27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项目资金减少</w:t>
      </w:r>
      <w:r>
        <w:rPr>
          <w:rFonts w:hint="eastAsia" w:ascii="仿宋" w:hAnsi="仿宋" w:eastAsia="仿宋"/>
          <w:sz w:val="32"/>
          <w:szCs w:val="32"/>
        </w:rPr>
        <w:t>。</w:t>
      </w:r>
    </w:p>
    <w:p w14:paraId="6CFA612D">
      <w:pPr>
        <w:pStyle w:val="12"/>
        <w:ind w:firstLine="643" w:firstLineChars="200"/>
        <w:jc w:val="center"/>
      </w:pPr>
      <w:r>
        <w:drawing>
          <wp:inline distT="0" distB="0" distL="114300" distR="114300">
            <wp:extent cx="4826000" cy="2743200"/>
            <wp:effectExtent l="4445" t="4445" r="825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32FD4A">
      <w:pPr>
        <w:spacing w:line="600" w:lineRule="exact"/>
        <w:ind w:firstLine="640" w:firstLineChars="200"/>
        <w:outlineLvl w:val="1"/>
        <w:rPr>
          <w:rStyle w:val="30"/>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32"/>
      <w:bookmarkEnd w:id="33"/>
    </w:p>
    <w:p w14:paraId="3828A71E">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14:paraId="46CA00D5">
      <w:pPr>
        <w:spacing w:line="600" w:lineRule="exact"/>
        <w:ind w:firstLine="640" w:firstLineChars="200"/>
      </w:pPr>
      <w:r>
        <w:rPr>
          <w:rFonts w:hint="eastAsia" w:ascii="仿宋" w:hAnsi="仿宋" w:eastAsia="仿宋"/>
          <w:sz w:val="32"/>
          <w:szCs w:val="32"/>
        </w:rPr>
        <w:t>2023年度一般公共预算财政拨款支出</w:t>
      </w:r>
      <w:r>
        <w:rPr>
          <w:rFonts w:ascii="仿宋" w:hAnsi="仿宋" w:eastAsia="仿宋"/>
          <w:b/>
          <w:sz w:val="32"/>
          <w:szCs w:val="32"/>
        </w:rPr>
        <w:t>1323.06</w:t>
      </w:r>
      <w:r>
        <w:rPr>
          <w:rFonts w:hint="eastAsia" w:ascii="仿宋" w:hAnsi="仿宋" w:eastAsia="仿宋"/>
          <w:sz w:val="32"/>
          <w:szCs w:val="32"/>
        </w:rPr>
        <w:t>万元，占本年支出合计的</w:t>
      </w:r>
      <w:r>
        <w:rPr>
          <w:rFonts w:ascii="仿宋" w:hAnsi="仿宋" w:eastAsia="仿宋"/>
          <w:b/>
          <w:sz w:val="32"/>
          <w:szCs w:val="32"/>
        </w:rPr>
        <w:t>86.98</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549.03</w:t>
      </w:r>
      <w:r>
        <w:rPr>
          <w:rFonts w:hint="eastAsia" w:ascii="仿宋" w:hAnsi="仿宋" w:eastAsia="仿宋"/>
          <w:sz w:val="32"/>
          <w:szCs w:val="32"/>
        </w:rPr>
        <w:t>万元，下降</w:t>
      </w:r>
      <w:r>
        <w:rPr>
          <w:rFonts w:hint="eastAsia" w:ascii="仿宋" w:hAnsi="仿宋" w:eastAsia="仿宋"/>
          <w:sz w:val="32"/>
          <w:szCs w:val="32"/>
          <w:lang w:val="en-US" w:eastAsia="zh-CN"/>
        </w:rPr>
        <w:t>29.32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项目资金减少。</w:t>
      </w:r>
    </w:p>
    <w:p w14:paraId="333AE86E">
      <w:pPr>
        <w:pStyle w:val="12"/>
        <w:ind w:firstLine="643" w:firstLineChars="200"/>
      </w:pPr>
      <w:r>
        <w:drawing>
          <wp:inline distT="0" distB="0" distL="114300" distR="114300">
            <wp:extent cx="4826000" cy="2743200"/>
            <wp:effectExtent l="4445" t="4445" r="8255" b="14605"/>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D0FEEF">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14:paraId="2927017B">
      <w:pPr>
        <w:spacing w:line="600" w:lineRule="exact"/>
        <w:ind w:firstLine="640" w:firstLineChars="200"/>
      </w:pPr>
      <w:r>
        <w:rPr>
          <w:rFonts w:hint="eastAsia" w:ascii="仿宋" w:hAnsi="仿宋" w:eastAsia="仿宋"/>
          <w:sz w:val="32"/>
          <w:szCs w:val="32"/>
        </w:rPr>
        <w:t>2023年度一般公共预算财政拨款支出1323.06万元，主要用于以下方面:一般公共服务支出1047.43万元，占</w:t>
      </w:r>
      <w:r>
        <w:rPr>
          <w:rFonts w:hint="eastAsia" w:ascii="仿宋" w:hAnsi="仿宋" w:eastAsia="仿宋"/>
          <w:sz w:val="32"/>
          <w:szCs w:val="32"/>
          <w:lang w:val="en-US" w:eastAsia="zh-CN"/>
        </w:rPr>
        <w:t>79.17</w:t>
      </w:r>
      <w:r>
        <w:rPr>
          <w:rFonts w:hint="eastAsia" w:ascii="仿宋" w:hAnsi="仿宋" w:eastAsia="仿宋"/>
          <w:sz w:val="32"/>
          <w:szCs w:val="32"/>
        </w:rPr>
        <w:t>%；文化旅游体育与传媒支出184.16万元，占</w:t>
      </w:r>
      <w:r>
        <w:rPr>
          <w:rFonts w:hint="eastAsia" w:ascii="仿宋" w:hAnsi="仿宋" w:eastAsia="仿宋"/>
          <w:sz w:val="32"/>
          <w:szCs w:val="32"/>
          <w:lang w:val="en-US" w:eastAsia="zh-CN"/>
        </w:rPr>
        <w:t>13.93</w:t>
      </w:r>
      <w:r>
        <w:rPr>
          <w:rFonts w:hint="eastAsia" w:ascii="仿宋" w:hAnsi="仿宋" w:eastAsia="仿宋"/>
          <w:sz w:val="32"/>
          <w:szCs w:val="32"/>
        </w:rPr>
        <w:t>%；社会保障和就业支出39.</w:t>
      </w:r>
      <w:r>
        <w:rPr>
          <w:rFonts w:hint="eastAsia" w:ascii="仿宋" w:hAnsi="仿宋" w:eastAsia="仿宋"/>
          <w:sz w:val="32"/>
          <w:szCs w:val="32"/>
          <w:lang w:val="en-US" w:eastAsia="zh-CN"/>
        </w:rPr>
        <w:t>8</w:t>
      </w:r>
      <w:r>
        <w:rPr>
          <w:rFonts w:hint="eastAsia" w:ascii="仿宋" w:hAnsi="仿宋" w:eastAsia="仿宋"/>
          <w:sz w:val="32"/>
          <w:szCs w:val="32"/>
        </w:rPr>
        <w:t>万元，占</w:t>
      </w:r>
      <w:r>
        <w:rPr>
          <w:rFonts w:hint="eastAsia" w:ascii="仿宋" w:hAnsi="仿宋" w:eastAsia="仿宋"/>
          <w:sz w:val="32"/>
          <w:szCs w:val="32"/>
          <w:lang w:val="en-US" w:eastAsia="zh-CN"/>
        </w:rPr>
        <w:t>3</w:t>
      </w:r>
      <w:r>
        <w:rPr>
          <w:rFonts w:hint="eastAsia" w:ascii="仿宋" w:hAnsi="仿宋" w:eastAsia="仿宋"/>
          <w:sz w:val="32"/>
          <w:szCs w:val="32"/>
        </w:rPr>
        <w:t>%；卫生健康支出19.</w:t>
      </w:r>
      <w:r>
        <w:rPr>
          <w:rFonts w:hint="eastAsia" w:ascii="仿宋" w:hAnsi="仿宋" w:eastAsia="仿宋"/>
          <w:sz w:val="32"/>
          <w:szCs w:val="32"/>
          <w:lang w:val="en-US" w:eastAsia="zh-CN"/>
        </w:rPr>
        <w:t>4</w:t>
      </w:r>
      <w:r>
        <w:rPr>
          <w:rFonts w:hint="eastAsia" w:ascii="仿宋" w:hAnsi="仿宋" w:eastAsia="仿宋"/>
          <w:sz w:val="32"/>
          <w:szCs w:val="32"/>
        </w:rPr>
        <w:t>万元，占</w:t>
      </w:r>
      <w:r>
        <w:rPr>
          <w:rFonts w:hint="eastAsia" w:ascii="仿宋" w:hAnsi="仿宋" w:eastAsia="仿宋"/>
          <w:sz w:val="32"/>
          <w:szCs w:val="32"/>
          <w:lang w:val="en-US" w:eastAsia="zh-CN"/>
        </w:rPr>
        <w:t>1.45</w:t>
      </w:r>
      <w:r>
        <w:rPr>
          <w:rFonts w:hint="eastAsia" w:ascii="仿宋" w:hAnsi="仿宋" w:eastAsia="仿宋"/>
          <w:sz w:val="32"/>
          <w:szCs w:val="32"/>
        </w:rPr>
        <w:t>%；住房保障支出32.38万元，占</w:t>
      </w:r>
      <w:r>
        <w:rPr>
          <w:rFonts w:hint="eastAsia" w:ascii="仿宋" w:hAnsi="仿宋" w:eastAsia="仿宋"/>
          <w:sz w:val="32"/>
          <w:szCs w:val="32"/>
          <w:lang w:val="en-US" w:eastAsia="zh-CN"/>
        </w:rPr>
        <w:t>2.45</w:t>
      </w:r>
      <w:r>
        <w:rPr>
          <w:rFonts w:hint="eastAsia" w:ascii="仿宋" w:hAnsi="仿宋" w:eastAsia="仿宋"/>
          <w:sz w:val="32"/>
          <w:szCs w:val="32"/>
        </w:rPr>
        <w:t>%。</w:t>
      </w:r>
    </w:p>
    <w:p w14:paraId="7605ECD4">
      <w:pPr>
        <w:pStyle w:val="12"/>
        <w:ind w:firstLine="643" w:firstLineChars="200"/>
      </w:pPr>
      <w:r>
        <w:drawing>
          <wp:inline distT="0" distB="0" distL="114300" distR="114300">
            <wp:extent cx="4826000" cy="2743200"/>
            <wp:effectExtent l="4445" t="4445" r="8255" b="14605"/>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90A849">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14:paraId="617E0B23">
      <w:pPr>
        <w:spacing w:line="600" w:lineRule="exact"/>
        <w:ind w:firstLine="643" w:firstLineChars="200"/>
        <w:outlineLvl w:val="2"/>
        <w:rPr>
          <w:rFonts w:ascii="仿宋" w:hAnsi="仿宋" w:eastAsia="仿宋"/>
          <w:sz w:val="32"/>
          <w:szCs w:val="32"/>
        </w:rPr>
      </w:pPr>
      <w:bookmarkStart w:id="37" w:name="_Toc15378460"/>
      <w:bookmarkStart w:id="38" w:name="_Toc15377444"/>
      <w:bookmarkStart w:id="39" w:name="_Toc15377213"/>
      <w:r>
        <w:rPr>
          <w:rFonts w:hint="eastAsia" w:ascii="仿宋" w:hAnsi="仿宋" w:eastAsia="仿宋"/>
          <w:b/>
          <w:sz w:val="32"/>
          <w:szCs w:val="32"/>
        </w:rPr>
        <w:t>2023年度一般公共预算支出决算数为</w:t>
      </w:r>
      <w:r>
        <w:rPr>
          <w:rFonts w:ascii="仿宋" w:hAnsi="仿宋" w:eastAsia="仿宋"/>
          <w:b/>
          <w:sz w:val="32"/>
          <w:szCs w:val="32"/>
        </w:rPr>
        <w:t>1323.06</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37"/>
      <w:bookmarkEnd w:id="38"/>
      <w:bookmarkEnd w:id="39"/>
    </w:p>
    <w:p w14:paraId="6E8A39B9">
      <w:pPr>
        <w:numPr>
          <w:ilvl w:val="0"/>
          <w:numId w:val="2"/>
        </w:numPr>
        <w:spacing w:line="600" w:lineRule="exact"/>
        <w:ind w:firstLine="643" w:firstLineChars="200"/>
        <w:rPr>
          <w:rStyle w:val="18"/>
          <w:rFonts w:hint="eastAsia" w:ascii="仿宋" w:hAnsi="仿宋" w:eastAsia="仿宋"/>
          <w:b w:val="0"/>
          <w:bCs/>
          <w:sz w:val="32"/>
          <w:szCs w:val="32"/>
        </w:rPr>
      </w:pPr>
      <w:r>
        <w:rPr>
          <w:rStyle w:val="18"/>
          <w:rFonts w:hint="eastAsia" w:ascii="仿宋" w:hAnsi="仿宋" w:eastAsia="仿宋"/>
          <w:bCs/>
          <w:sz w:val="32"/>
          <w:szCs w:val="32"/>
        </w:rPr>
        <w:t>一般公共服务（类）政府办公厅（室）及相关机构事务（款）行政运行（项）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0.29</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0DA1507E">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2</w:t>
      </w:r>
      <w:r>
        <w:rPr>
          <w:rStyle w:val="18"/>
          <w:rFonts w:ascii="仿宋" w:hAnsi="仿宋" w:eastAsia="仿宋"/>
          <w:bCs/>
          <w:sz w:val="32"/>
          <w:szCs w:val="32"/>
        </w:rPr>
        <w:t>.</w:t>
      </w:r>
      <w:r>
        <w:rPr>
          <w:rStyle w:val="18"/>
          <w:rFonts w:hint="eastAsia" w:ascii="仿宋" w:hAnsi="仿宋" w:eastAsia="仿宋"/>
          <w:bCs/>
          <w:sz w:val="32"/>
          <w:szCs w:val="32"/>
        </w:rPr>
        <w:t>一般公共服务（类）宣传事务（款）行政运行（项）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364.94</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1CB6ED7C">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3</w:t>
      </w:r>
      <w:r>
        <w:rPr>
          <w:rStyle w:val="18"/>
          <w:rFonts w:ascii="仿宋" w:hAnsi="仿宋" w:eastAsia="仿宋"/>
          <w:bCs/>
          <w:sz w:val="32"/>
          <w:szCs w:val="32"/>
        </w:rPr>
        <w:t>.</w:t>
      </w:r>
      <w:r>
        <w:rPr>
          <w:rStyle w:val="18"/>
          <w:rFonts w:hint="eastAsia" w:ascii="仿宋" w:hAnsi="仿宋" w:eastAsia="仿宋"/>
          <w:bCs/>
          <w:sz w:val="32"/>
          <w:szCs w:val="32"/>
        </w:rPr>
        <w:t>一般公共服务（类）宣传事务（款）一般行政管理事务（项）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92.70</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5C8EC90C">
      <w:pPr>
        <w:spacing w:line="600" w:lineRule="exact"/>
        <w:ind w:firstLine="643" w:firstLineChars="200"/>
      </w:pPr>
      <w:r>
        <w:rPr>
          <w:rStyle w:val="18"/>
          <w:rFonts w:hint="eastAsia" w:ascii="仿宋" w:hAnsi="仿宋" w:eastAsia="仿宋"/>
          <w:bCs/>
          <w:sz w:val="32"/>
          <w:szCs w:val="32"/>
          <w:lang w:val="en-US" w:eastAsia="zh-CN"/>
        </w:rPr>
        <w:t>4</w:t>
      </w:r>
      <w:r>
        <w:rPr>
          <w:rStyle w:val="18"/>
          <w:rFonts w:ascii="仿宋" w:hAnsi="仿宋" w:eastAsia="仿宋"/>
          <w:bCs/>
          <w:sz w:val="32"/>
          <w:szCs w:val="32"/>
        </w:rPr>
        <w:t>.</w:t>
      </w:r>
      <w:r>
        <w:rPr>
          <w:rStyle w:val="18"/>
          <w:rFonts w:hint="eastAsia" w:ascii="仿宋" w:hAnsi="仿宋" w:eastAsia="仿宋"/>
          <w:bCs/>
          <w:sz w:val="32"/>
          <w:szCs w:val="32"/>
        </w:rPr>
        <w:t>一般公共服务（类）宣传事务（款）其他宣传事务支出（项）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589.50</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2E32513B">
      <w:pPr>
        <w:spacing w:line="600" w:lineRule="exact"/>
        <w:ind w:firstLine="643" w:firstLineChars="200"/>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5</w:t>
      </w:r>
      <w:r>
        <w:rPr>
          <w:rStyle w:val="18"/>
          <w:rFonts w:ascii="仿宋" w:hAnsi="仿宋" w:eastAsia="仿宋"/>
          <w:bCs/>
          <w:sz w:val="32"/>
          <w:szCs w:val="32"/>
        </w:rPr>
        <w:t>.</w:t>
      </w:r>
      <w:r>
        <w:rPr>
          <w:rStyle w:val="18"/>
          <w:rFonts w:hint="eastAsia" w:ascii="仿宋" w:hAnsi="仿宋" w:eastAsia="仿宋"/>
          <w:bCs/>
          <w:sz w:val="32"/>
          <w:szCs w:val="32"/>
        </w:rPr>
        <w:t>文化旅游体育与传媒（类）文化和旅游（款）其他文化和旅游支出（项）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支出决算为114.16万元，完成预算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364057A0">
      <w:pPr>
        <w:spacing w:line="600" w:lineRule="exact"/>
        <w:ind w:firstLine="643" w:firstLineChars="200"/>
      </w:pPr>
      <w:r>
        <w:rPr>
          <w:rStyle w:val="18"/>
          <w:rFonts w:hint="eastAsia" w:ascii="仿宋" w:hAnsi="仿宋" w:eastAsia="仿宋"/>
          <w:bCs/>
          <w:sz w:val="32"/>
          <w:szCs w:val="32"/>
          <w:lang w:val="en-US" w:eastAsia="zh-CN"/>
        </w:rPr>
        <w:t>6</w:t>
      </w:r>
      <w:r>
        <w:rPr>
          <w:rStyle w:val="18"/>
          <w:rFonts w:ascii="仿宋" w:hAnsi="仿宋" w:eastAsia="仿宋"/>
          <w:bCs/>
          <w:sz w:val="32"/>
          <w:szCs w:val="32"/>
        </w:rPr>
        <w:t>.</w:t>
      </w:r>
      <w:r>
        <w:rPr>
          <w:rStyle w:val="18"/>
          <w:rFonts w:hint="eastAsia" w:ascii="仿宋" w:hAnsi="仿宋" w:eastAsia="仿宋"/>
          <w:bCs/>
          <w:sz w:val="32"/>
          <w:szCs w:val="32"/>
        </w:rPr>
        <w:t>文化旅游体育与传媒（类）其他文化旅游体育与传媒支出（款）宣传文化发展专项支出（项）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70</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009E759F">
      <w:pPr>
        <w:spacing w:line="600" w:lineRule="exact"/>
        <w:ind w:firstLine="643" w:firstLineChars="200"/>
      </w:pPr>
      <w:r>
        <w:rPr>
          <w:rStyle w:val="18"/>
          <w:rFonts w:hint="eastAsia" w:ascii="仿宋" w:hAnsi="仿宋" w:eastAsia="仿宋"/>
          <w:bCs/>
          <w:sz w:val="32"/>
          <w:szCs w:val="32"/>
          <w:lang w:val="en-US" w:eastAsia="zh-CN"/>
        </w:rPr>
        <w:t>7</w:t>
      </w:r>
      <w:r>
        <w:rPr>
          <w:rStyle w:val="18"/>
          <w:rFonts w:ascii="仿宋" w:hAnsi="仿宋" w:eastAsia="仿宋"/>
          <w:bCs/>
          <w:sz w:val="32"/>
          <w:szCs w:val="32"/>
        </w:rPr>
        <w:t>.</w:t>
      </w:r>
      <w:r>
        <w:rPr>
          <w:rStyle w:val="18"/>
          <w:rFonts w:hint="eastAsia" w:ascii="仿宋" w:hAnsi="仿宋" w:eastAsia="仿宋"/>
          <w:bCs/>
          <w:sz w:val="32"/>
          <w:szCs w:val="32"/>
        </w:rPr>
        <w:t>社会保障和就业（类）行政事业单位养老支出（款）机关事业单位基本养老保险缴费支出（项）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39.8</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55533EE1">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8</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（类）行政事业单位医疗（款）行政单位医疗（项）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19.3</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7E79F2C8">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9</w:t>
      </w:r>
      <w:r>
        <w:rPr>
          <w:rStyle w:val="18"/>
          <w:rFonts w:ascii="仿宋" w:hAnsi="仿宋" w:eastAsia="仿宋"/>
          <w:bCs/>
          <w:sz w:val="32"/>
          <w:szCs w:val="32"/>
        </w:rPr>
        <w:t>.</w:t>
      </w:r>
      <w:r>
        <w:rPr>
          <w:rFonts w:hint="eastAsia" w:ascii="仿宋" w:hAnsi="仿宋" w:eastAsia="仿宋"/>
          <w:b/>
          <w:bCs/>
          <w:sz w:val="32"/>
          <w:szCs w:val="32"/>
        </w:rPr>
        <w:t>住房保障支出</w:t>
      </w:r>
      <w:r>
        <w:rPr>
          <w:rStyle w:val="18"/>
          <w:rFonts w:hint="eastAsia" w:ascii="仿宋" w:hAnsi="仿宋" w:eastAsia="仿宋"/>
          <w:bCs/>
          <w:sz w:val="32"/>
          <w:szCs w:val="32"/>
        </w:rPr>
        <w:t>（类）住房改革支出（款）住房公积金（项）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32.38</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5034B0F1">
      <w:pPr>
        <w:tabs>
          <w:tab w:val="right" w:pos="8306"/>
        </w:tabs>
        <w:spacing w:line="600" w:lineRule="exact"/>
        <w:ind w:firstLine="640" w:firstLineChars="200"/>
        <w:outlineLvl w:val="1"/>
        <w:rPr>
          <w:rStyle w:val="30"/>
        </w:rPr>
      </w:pPr>
      <w:bookmarkStart w:id="40" w:name="_Toc15396608"/>
      <w:bookmarkStart w:id="4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40"/>
      <w:bookmarkEnd w:id="41"/>
      <w:r>
        <w:rPr>
          <w:rStyle w:val="30"/>
          <w:rFonts w:ascii="黑体" w:hAnsi="黑体" w:eastAsia="黑体"/>
          <w:b w:val="0"/>
        </w:rPr>
        <w:tab/>
      </w:r>
    </w:p>
    <w:p w14:paraId="063C17AC">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2023年度一般公共预算财政拨款基本支出456.7万元，其中：</w:t>
      </w:r>
    </w:p>
    <w:p w14:paraId="204028B5">
      <w:pPr>
        <w:spacing w:line="600" w:lineRule="exact"/>
        <w:ind w:firstLine="640" w:firstLineChars="200"/>
        <w:rPr>
          <w:rFonts w:ascii="仿宋" w:hAnsi="仿宋" w:eastAsia="仿宋"/>
          <w:b/>
          <w:sz w:val="32"/>
          <w:szCs w:val="32"/>
        </w:rPr>
      </w:pPr>
      <w:r>
        <w:rPr>
          <w:rFonts w:hint="eastAsia" w:ascii="仿宋" w:hAnsi="仿宋" w:eastAsia="仿宋"/>
          <w:sz w:val="32"/>
          <w:szCs w:val="32"/>
        </w:rPr>
        <w:t>人员经费389.25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67.45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CEE1C2D">
      <w:pPr>
        <w:spacing w:line="600" w:lineRule="exact"/>
        <w:ind w:firstLine="640" w:firstLineChars="200"/>
        <w:outlineLvl w:val="1"/>
        <w:rPr>
          <w:rStyle w:val="30"/>
          <w:rFonts w:ascii="黑体" w:hAnsi="黑体" w:eastAsia="黑体"/>
          <w:b w:val="0"/>
        </w:rPr>
      </w:pPr>
      <w:bookmarkStart w:id="42" w:name="_Toc15396609"/>
      <w:bookmarkStart w:id="43" w:name="_Toc15377215"/>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42"/>
      <w:bookmarkEnd w:id="43"/>
    </w:p>
    <w:p w14:paraId="4EB46F40">
      <w:pPr>
        <w:spacing w:line="600" w:lineRule="exact"/>
        <w:ind w:firstLine="643" w:firstLineChars="20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14:paraId="03AF9312">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1.01</w:t>
      </w:r>
      <w:r>
        <w:rPr>
          <w:rFonts w:hint="eastAsia" w:ascii="仿宋" w:hAnsi="仿宋" w:eastAsia="仿宋"/>
          <w:sz w:val="32"/>
          <w:szCs w:val="32"/>
        </w:rPr>
        <w:t>万元，完成预算</w:t>
      </w:r>
      <w:r>
        <w:rPr>
          <w:rFonts w:ascii="仿宋" w:hAnsi="仿宋" w:eastAsia="仿宋"/>
          <w:b/>
          <w:sz w:val="32"/>
          <w:szCs w:val="32"/>
        </w:rPr>
        <w:t>84.46</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0.02</w:t>
      </w:r>
      <w:r>
        <w:rPr>
          <w:rFonts w:hint="eastAsia" w:ascii="仿宋" w:hAnsi="仿宋" w:eastAsia="仿宋"/>
          <w:sz w:val="32"/>
          <w:szCs w:val="32"/>
        </w:rPr>
        <w:t>万元，下降</w:t>
      </w:r>
      <w:r>
        <w:rPr>
          <w:rFonts w:hint="eastAsia" w:ascii="仿宋" w:hAnsi="仿宋" w:eastAsia="仿宋"/>
          <w:sz w:val="32"/>
          <w:szCs w:val="32"/>
          <w:lang w:val="en-US" w:eastAsia="zh-CN"/>
        </w:rPr>
        <w:t>1.94</w:t>
      </w:r>
      <w:r>
        <w:rPr>
          <w:rFonts w:hint="eastAsia" w:ascii="仿宋" w:hAnsi="仿宋" w:eastAsia="仿宋"/>
          <w:sz w:val="32"/>
          <w:szCs w:val="32"/>
        </w:rPr>
        <w:t>%。</w:t>
      </w:r>
    </w:p>
    <w:p w14:paraId="588B836E">
      <w:pPr>
        <w:spacing w:line="600" w:lineRule="exact"/>
        <w:ind w:firstLine="643" w:firstLineChars="20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14:paraId="3ED25D52">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1.01</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1222880C">
      <w:pPr>
        <w:pStyle w:val="5"/>
        <w:ind w:firstLine="600" w:firstLineChars="200"/>
        <w:jc w:val="center"/>
        <w:rPr>
          <w:rFonts w:ascii="仿宋_GB2312" w:eastAsia="仿宋_GB2312"/>
          <w:b/>
          <w:sz w:val="32"/>
          <w:szCs w:val="32"/>
        </w:rPr>
      </w:pPr>
      <w:bookmarkStart w:id="46" w:name="_Toc15377218"/>
      <w:bookmarkStart w:id="47" w:name="_Toc15396610"/>
      <w:r>
        <w:drawing>
          <wp:inline distT="0" distB="0" distL="114300" distR="114300">
            <wp:extent cx="4826000" cy="2743200"/>
            <wp:effectExtent l="4445" t="4445" r="825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A7FC33">
      <w:pPr>
        <w:spacing w:line="600" w:lineRule="exact"/>
        <w:ind w:firstLine="643" w:firstLineChars="20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p>
    <w:p w14:paraId="52B17E22">
      <w:pPr>
        <w:spacing w:line="600" w:lineRule="exact"/>
        <w:ind w:firstLine="643" w:firstLineChars="200"/>
        <w:rPr>
          <w:rFonts w:hint="eastAsia"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302AFF04">
      <w:pPr>
        <w:spacing w:line="600" w:lineRule="exact"/>
        <w:ind w:firstLine="643"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1.01</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84.46%</w:t>
      </w:r>
      <w:r>
        <w:rPr>
          <w:rStyle w:val="18"/>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0.02</w:t>
      </w:r>
      <w:r>
        <w:rPr>
          <w:rFonts w:hint="eastAsia" w:ascii="仿宋_GB2312" w:eastAsia="仿宋_GB2312"/>
          <w:sz w:val="32"/>
          <w:szCs w:val="32"/>
        </w:rPr>
        <w:t>万元，下降</w:t>
      </w:r>
      <w:r>
        <w:rPr>
          <w:rFonts w:hint="eastAsia" w:ascii="仿宋_GB2312" w:eastAsia="仿宋_GB2312"/>
          <w:sz w:val="32"/>
          <w:szCs w:val="32"/>
          <w:lang w:val="en-US" w:eastAsia="zh-CN"/>
        </w:rPr>
        <w:t>1.94</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s="仿宋_GB2312"/>
          <w:color w:val="auto"/>
          <w:sz w:val="32"/>
          <w:szCs w:val="32"/>
          <w:highlight w:val="none"/>
        </w:rPr>
        <w:t>严格按照“三公”经费管理规定，反对铺张浪费，合理支出</w:t>
      </w:r>
      <w:r>
        <w:rPr>
          <w:rFonts w:hint="eastAsia" w:ascii="仿宋_GB2312" w:eastAsia="仿宋_GB2312"/>
          <w:sz w:val="32"/>
          <w:szCs w:val="32"/>
        </w:rPr>
        <w:t>。其中：</w:t>
      </w:r>
    </w:p>
    <w:p w14:paraId="7159C27C">
      <w:pPr>
        <w:spacing w:line="600" w:lineRule="exact"/>
        <w:ind w:firstLine="643" w:firstLineChars="20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1.01</w:t>
      </w:r>
      <w:r>
        <w:rPr>
          <w:rFonts w:hint="eastAsia" w:ascii="仿宋_GB2312" w:eastAsia="仿宋_GB2312"/>
          <w:sz w:val="32"/>
          <w:szCs w:val="32"/>
        </w:rPr>
        <w:t>万元，</w:t>
      </w:r>
      <w:r>
        <w:rPr>
          <w:rFonts w:hint="eastAsia" w:ascii="仿宋_GB2312" w:eastAsia="仿宋_GB2312"/>
          <w:color w:val="auto"/>
          <w:sz w:val="32"/>
          <w:szCs w:val="32"/>
          <w:highlight w:val="none"/>
        </w:rPr>
        <w:t>主要用于</w:t>
      </w:r>
      <w:r>
        <w:rPr>
          <w:rFonts w:hint="eastAsia" w:ascii="仿宋_GB2312" w:hAnsi="仿宋_GB2312" w:eastAsia="仿宋_GB2312" w:cs="仿宋_GB2312"/>
          <w:color w:val="auto"/>
          <w:sz w:val="32"/>
          <w:szCs w:val="32"/>
          <w:highlight w:val="none"/>
          <w:lang w:val="en-US" w:eastAsia="zh-CN"/>
        </w:rPr>
        <w:t>用于开展业务活动、记者、单位等来访接待用餐</w:t>
      </w:r>
      <w:r>
        <w:rPr>
          <w:rFonts w:hint="eastAsia" w:ascii="仿宋_GB2312" w:eastAsia="仿宋_GB2312"/>
          <w:sz w:val="32"/>
          <w:szCs w:val="32"/>
        </w:rPr>
        <w:t>，</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76</w:t>
      </w:r>
      <w:r>
        <w:rPr>
          <w:rFonts w:hint="eastAsia" w:ascii="仿宋_GB2312" w:eastAsia="仿宋_GB2312"/>
          <w:color w:val="auto"/>
          <w:sz w:val="32"/>
          <w:szCs w:val="32"/>
          <w:highlight w:val="none"/>
        </w:rPr>
        <w:t>人次</w:t>
      </w:r>
      <w:r>
        <w:rPr>
          <w:rFonts w:hint="eastAsia" w:ascii="仿宋_GB2312" w:eastAsia="仿宋_GB2312"/>
          <w:sz w:val="32"/>
          <w:szCs w:val="32"/>
        </w:rPr>
        <w:t>共计支出</w:t>
      </w:r>
      <w:r>
        <w:rPr>
          <w:rFonts w:hint="eastAsia" w:ascii="仿宋_GB2312" w:eastAsia="仿宋_GB2312"/>
          <w:sz w:val="32"/>
          <w:szCs w:val="32"/>
          <w:lang w:val="en-US" w:eastAsia="zh-CN"/>
        </w:rPr>
        <w:t>1.01</w:t>
      </w:r>
      <w:r>
        <w:rPr>
          <w:rFonts w:hint="eastAsia" w:ascii="仿宋_GB2312" w:eastAsia="仿宋_GB2312"/>
          <w:sz w:val="32"/>
          <w:szCs w:val="32"/>
        </w:rPr>
        <w:t>万元。</w:t>
      </w:r>
    </w:p>
    <w:p w14:paraId="08F0A24F">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0E92807D">
      <w:pPr>
        <w:spacing w:line="600" w:lineRule="exact"/>
        <w:ind w:firstLine="640" w:firstLineChars="20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46"/>
      <w:bookmarkEnd w:id="47"/>
    </w:p>
    <w:p w14:paraId="7BD39621">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198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color w:val="auto"/>
          <w:sz w:val="32"/>
          <w:szCs w:val="32"/>
          <w:highlight w:val="none"/>
          <w:lang w:val="en-US" w:eastAsia="zh-CN"/>
        </w:rPr>
        <w:t>为</w:t>
      </w:r>
      <w:r>
        <w:rPr>
          <w:rFonts w:hint="eastAsia" w:ascii="仿宋_GB2312" w:eastAsia="仿宋_GB2312"/>
          <w:color w:val="auto"/>
          <w:sz w:val="32"/>
          <w:szCs w:val="32"/>
          <w:highlight w:val="none"/>
          <w:lang w:eastAsia="zh-CN"/>
        </w:rPr>
        <w:t>国家电影发展专项资金</w:t>
      </w:r>
      <w:r>
        <w:rPr>
          <w:rFonts w:hint="eastAsia" w:ascii="仿宋_GB2312" w:eastAsia="仿宋_GB2312"/>
          <w:color w:val="auto"/>
          <w:sz w:val="32"/>
          <w:szCs w:val="32"/>
          <w:highlight w:val="none"/>
          <w:lang w:val="en-US" w:eastAsia="zh-CN"/>
        </w:rPr>
        <w:t>及巴州区南池艺术广场会客厅建设经费</w:t>
      </w:r>
      <w:r>
        <w:rPr>
          <w:rFonts w:hint="eastAsia" w:ascii="仿宋_GB2312" w:eastAsia="仿宋_GB2312"/>
          <w:sz w:val="32"/>
          <w:szCs w:val="32"/>
        </w:rPr>
        <w:t>。</w:t>
      </w:r>
    </w:p>
    <w:p w14:paraId="0380F87B">
      <w:pPr>
        <w:numPr>
          <w:ilvl w:val="0"/>
          <w:numId w:val="3"/>
        </w:numPr>
        <w:spacing w:line="600" w:lineRule="exact"/>
        <w:ind w:firstLine="640" w:firstLineChars="200"/>
        <w:outlineLvl w:val="1"/>
        <w:rPr>
          <w:rStyle w:val="30"/>
          <w:rFonts w:ascii="黑体" w:hAnsi="黑体" w:eastAsia="黑体"/>
          <w:b w:val="0"/>
        </w:rPr>
      </w:pPr>
      <w:bookmarkStart w:id="48" w:name="_Toc15396611"/>
      <w:bookmarkStart w:id="49" w:name="_Toc15377219"/>
      <w:r>
        <w:rPr>
          <w:rStyle w:val="30"/>
          <w:rFonts w:hint="eastAsia" w:ascii="黑体" w:hAnsi="黑体" w:eastAsia="黑体"/>
          <w:b w:val="0"/>
        </w:rPr>
        <w:t>国有资本经营预算支出决算情况说明</w:t>
      </w:r>
      <w:bookmarkEnd w:id="48"/>
      <w:bookmarkEnd w:id="49"/>
    </w:p>
    <w:p w14:paraId="48221BAE">
      <w:pPr>
        <w:spacing w:line="600" w:lineRule="exact"/>
        <w:ind w:firstLine="640" w:firstLineChars="20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772023E">
      <w:pPr>
        <w:numPr>
          <w:ilvl w:val="0"/>
          <w:numId w:val="3"/>
        </w:numPr>
        <w:spacing w:line="600" w:lineRule="exact"/>
        <w:ind w:firstLine="640" w:firstLineChars="200"/>
        <w:outlineLvl w:val="1"/>
        <w:rPr>
          <w:rStyle w:val="30"/>
          <w:rFonts w:ascii="黑体" w:hAnsi="黑体" w:eastAsia="黑体"/>
          <w:b w:val="0"/>
        </w:rPr>
      </w:pPr>
      <w:bookmarkStart w:id="50" w:name="_Toc15396612"/>
      <w:bookmarkStart w:id="51" w:name="_Toc15377221"/>
      <w:r>
        <w:rPr>
          <w:rStyle w:val="30"/>
          <w:rFonts w:hint="eastAsia" w:ascii="黑体" w:hAnsi="黑体" w:eastAsia="黑体"/>
          <w:b w:val="0"/>
        </w:rPr>
        <w:t>其他重要事项的情况说明</w:t>
      </w:r>
      <w:bookmarkEnd w:id="50"/>
      <w:bookmarkEnd w:id="51"/>
    </w:p>
    <w:p w14:paraId="33F06BE7">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14:paraId="06E0BC5B">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2023年度，中共巴中市巴州区委员会宣传部机关运行经费支出67.45万元，比2022年度增加</w:t>
      </w:r>
      <w:r>
        <w:rPr>
          <w:rFonts w:hint="eastAsia" w:ascii="仿宋_GB2312" w:eastAsia="仿宋_GB2312"/>
          <w:sz w:val="32"/>
          <w:szCs w:val="32"/>
          <w:lang w:val="en-US" w:eastAsia="zh-CN"/>
        </w:rPr>
        <w:t>9.86</w:t>
      </w:r>
      <w:r>
        <w:rPr>
          <w:rFonts w:hint="eastAsia" w:ascii="仿宋_GB2312" w:eastAsia="仿宋_GB2312"/>
          <w:sz w:val="32"/>
          <w:szCs w:val="32"/>
        </w:rPr>
        <w:t>万元，增长</w:t>
      </w:r>
      <w:r>
        <w:rPr>
          <w:rFonts w:hint="eastAsia" w:ascii="仿宋_GB2312" w:eastAsia="仿宋_GB2312"/>
          <w:sz w:val="32"/>
          <w:szCs w:val="32"/>
          <w:lang w:val="en-US" w:eastAsia="zh-CN"/>
        </w:rPr>
        <w:t>17.12%</w:t>
      </w:r>
      <w:r>
        <w:rPr>
          <w:rFonts w:hint="eastAsia" w:ascii="仿宋_GB2312" w:eastAsia="仿宋_GB2312"/>
          <w:sz w:val="32"/>
          <w:szCs w:val="32"/>
        </w:rPr>
        <w:t>。主要原因是</w:t>
      </w:r>
      <w:r>
        <w:rPr>
          <w:rFonts w:hint="eastAsia" w:ascii="仿宋_GB2312" w:eastAsia="仿宋_GB2312"/>
          <w:color w:val="auto"/>
          <w:sz w:val="32"/>
          <w:szCs w:val="32"/>
          <w:highlight w:val="none"/>
          <w:lang w:val="en-US" w:eastAsia="zh-CN"/>
        </w:rPr>
        <w:t>人员增加</w:t>
      </w:r>
      <w:r>
        <w:rPr>
          <w:rFonts w:hint="eastAsia" w:ascii="仿宋_GB2312" w:eastAsia="仿宋_GB2312"/>
          <w:sz w:val="32"/>
          <w:szCs w:val="32"/>
        </w:rPr>
        <w:t>。</w:t>
      </w:r>
    </w:p>
    <w:p w14:paraId="4FD15BDD">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14:paraId="7E4EDD41">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2023年度，中国共产党巴中市巴州区委员会宣传部政府采购支出总额218.68万元，其中：政府采购货物支出42.82万元、政府采购工程支出0万元、政府采购服务支出175.87万元。主要用于</w:t>
      </w:r>
      <w:r>
        <w:rPr>
          <w:rFonts w:hint="eastAsia" w:ascii="仿宋_GB2312" w:eastAsia="仿宋_GB2312"/>
          <w:sz w:val="32"/>
          <w:szCs w:val="32"/>
          <w:lang w:val="en-US" w:eastAsia="zh-CN"/>
        </w:rPr>
        <w:t>创建文明城市氛围营造、新时代文明实践中心提升改造服务等</w:t>
      </w:r>
      <w:r>
        <w:rPr>
          <w:rFonts w:hint="eastAsia" w:ascii="仿宋_GB2312" w:eastAsia="仿宋_GB2312"/>
          <w:sz w:val="32"/>
          <w:szCs w:val="32"/>
        </w:rPr>
        <w:t>。授予中小企业合同金额176.68万元，占政府采购支出总额的0.8%，其中：授予小微企业合同金额175.87万元，占政府采购支出总额的80.41%。</w:t>
      </w:r>
    </w:p>
    <w:p w14:paraId="35DDD9AA">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14:paraId="4FFD6384">
      <w:pPr>
        <w:autoSpaceDE w:val="0"/>
        <w:autoSpaceDN w:val="0"/>
        <w:adjustRightInd w:val="0"/>
        <w:spacing w:line="600" w:lineRule="exact"/>
        <w:ind w:firstLine="640" w:firstLineChars="200"/>
        <w:jc w:val="left"/>
        <w:rPr>
          <w:rFonts w:hint="eastAsia" w:ascii="仿宋" w:hAnsi="仿宋" w:eastAsia="仿宋_GB2312"/>
          <w:b/>
          <w:sz w:val="32"/>
          <w:szCs w:val="32"/>
          <w:lang w:eastAsia="zh-CN"/>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日，中国共产党巴中市巴州区委员会宣传部共有车辆0辆</w:t>
      </w:r>
      <w:r>
        <w:rPr>
          <w:rFonts w:hint="eastAsia" w:ascii="仿宋_GB2312" w:eastAsia="仿宋_GB2312"/>
          <w:sz w:val="32"/>
          <w:szCs w:val="32"/>
          <w:lang w:eastAsia="zh-CN"/>
        </w:rPr>
        <w:t>。</w:t>
      </w:r>
    </w:p>
    <w:p w14:paraId="5C07D740">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2E429F9F">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根据预算绩效管理要求，本单位在2023年度预算编制阶段，组织对舆情监控经费等</w:t>
      </w:r>
      <w:r>
        <w:rPr>
          <w:rFonts w:hint="eastAsia" w:ascii="仿宋_GB2312" w:eastAsia="仿宋_GB2312"/>
          <w:sz w:val="32"/>
          <w:szCs w:val="32"/>
          <w:lang w:val="en-US" w:eastAsia="zh-CN"/>
        </w:rPr>
        <w:t>5</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5</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5</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5</w:t>
      </w:r>
      <w:r>
        <w:rPr>
          <w:rFonts w:hint="eastAsia" w:ascii="仿宋_GB2312" w:eastAsia="仿宋_GB2312"/>
          <w:sz w:val="32"/>
          <w:szCs w:val="32"/>
        </w:rPr>
        <w:t>个项目开展绩效自评，绩效自评表详见第四部分附件。</w:t>
      </w:r>
    </w:p>
    <w:p w14:paraId="79E2B799">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00F7C0DD">
      <w:pPr>
        <w:numPr>
          <w:ilvl w:val="0"/>
          <w:numId w:val="4"/>
        </w:numPr>
        <w:spacing w:line="600" w:lineRule="exact"/>
        <w:ind w:firstLine="880" w:firstLineChars="200"/>
        <w:jc w:val="center"/>
        <w:outlineLvl w:val="0"/>
        <w:rPr>
          <w:rStyle w:val="29"/>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29"/>
          <w:rFonts w:hint="eastAsia" w:ascii="黑体" w:hAnsi="黑体" w:eastAsia="黑体"/>
          <w:b w:val="0"/>
        </w:rPr>
        <w:t>词解释</w:t>
      </w:r>
      <w:bookmarkEnd w:id="55"/>
      <w:bookmarkEnd w:id="56"/>
    </w:p>
    <w:p w14:paraId="552982F5">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0D359A66">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4D2A6F09">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683ED774">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09D440D7">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1C6FC5A0">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4A4BE442">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449B5656">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5CCB1666">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14:paraId="0419CFF0">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14:paraId="71A2814F">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14:paraId="24E75FCB">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14:paraId="3A9063C7">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14:paraId="5D63B580">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14:paraId="3EBE8283">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14:paraId="24D74E6E">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14:paraId="46B5E78C">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14:paraId="73C87D37">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14:paraId="1E77E18E">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14:paraId="582E401E">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14:paraId="5E82C220">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14:paraId="095037F1">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14:paraId="70EB5329">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14:paraId="6AF5840F">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14:paraId="42E3CA94">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14:paraId="182ED9CC">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14:paraId="4A3EEF2F">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14:paraId="4CEE934D">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1E326ADB">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14:paraId="0651E7AF">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A4FBA43">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A738EFF">
      <w:pPr>
        <w:spacing w:line="600" w:lineRule="exact"/>
        <w:ind w:firstLine="883" w:firstLineChars="200"/>
        <w:jc w:val="center"/>
        <w:outlineLvl w:val="0"/>
        <w:rPr>
          <w:rStyle w:val="29"/>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9"/>
          <w:rFonts w:hint="eastAsia" w:ascii="黑体" w:hAnsi="黑体" w:eastAsia="黑体"/>
          <w:b w:val="0"/>
        </w:rPr>
        <w:t>四部分 附件</w:t>
      </w:r>
      <w:bookmarkEnd w:id="58"/>
    </w:p>
    <w:p w14:paraId="54171EA0">
      <w:pPr>
        <w:pStyle w:val="5"/>
        <w:spacing w:before="93"/>
        <w:ind w:firstLine="643" w:firstLineChars="200"/>
        <w:jc w:val="center"/>
        <w:rPr>
          <w:rFonts w:hint="eastAsia" w:hAnsi="Calibri" w:cs="仿宋"/>
          <w:b/>
          <w:bCs/>
          <w:sz w:val="32"/>
          <w:szCs w:val="32"/>
          <w:lang w:val="en-US" w:eastAsia="zh-CN"/>
        </w:rPr>
      </w:pPr>
      <w:bookmarkStart w:id="59" w:name="_Toc15396618"/>
      <w:r>
        <w:rPr>
          <w:rFonts w:hint="eastAsia" w:hAnsi="Calibri" w:cs="仿宋"/>
          <w:b/>
          <w:bCs/>
          <w:sz w:val="32"/>
          <w:szCs w:val="32"/>
          <w:lang w:val="en-US" w:eastAsia="zh-CN"/>
        </w:rPr>
        <w:t>中共巴中市巴州区委宣传部</w:t>
      </w:r>
    </w:p>
    <w:p w14:paraId="4E3ECB5E">
      <w:pPr>
        <w:pStyle w:val="5"/>
        <w:spacing w:before="93"/>
        <w:ind w:firstLine="643" w:firstLineChars="200"/>
        <w:jc w:val="center"/>
        <w:rPr>
          <w:rFonts w:hint="eastAsia" w:hAnsi="Calibri" w:cs="仿宋"/>
          <w:b/>
          <w:bCs/>
          <w:sz w:val="32"/>
          <w:szCs w:val="32"/>
        </w:rPr>
      </w:pPr>
      <w:r>
        <w:rPr>
          <w:rFonts w:hint="eastAsia" w:hAnsi="Calibri" w:cs="仿宋"/>
          <w:b/>
          <w:bCs/>
          <w:sz w:val="32"/>
          <w:szCs w:val="32"/>
          <w:lang w:val="en-US" w:eastAsia="zh-CN"/>
        </w:rPr>
        <w:t>2023年度部门</w:t>
      </w:r>
      <w:r>
        <w:rPr>
          <w:rFonts w:hint="eastAsia" w:hAnsi="Calibri" w:cs="仿宋"/>
          <w:b/>
          <w:bCs/>
          <w:sz w:val="32"/>
          <w:szCs w:val="32"/>
        </w:rPr>
        <w:t>整体支出绩效评价报告</w:t>
      </w:r>
    </w:p>
    <w:p w14:paraId="4605FAC4">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Ansi="Calibri" w:cs="仿宋"/>
          <w:sz w:val="32"/>
          <w:szCs w:val="32"/>
          <w:lang w:val="zh-CN"/>
        </w:rPr>
      </w:pPr>
      <w:r>
        <w:rPr>
          <w:rFonts w:hint="eastAsia" w:hAnsi="Calibri" w:cs="仿宋"/>
          <w:sz w:val="32"/>
          <w:szCs w:val="32"/>
        </w:rPr>
        <w:t>一、</w:t>
      </w:r>
      <w:r>
        <w:rPr>
          <w:rFonts w:hint="eastAsia" w:hAnsi="Calibri" w:cs="仿宋"/>
          <w:sz w:val="32"/>
          <w:szCs w:val="32"/>
          <w:lang w:val="zh-CN"/>
        </w:rPr>
        <w:t>部门概况</w:t>
      </w:r>
    </w:p>
    <w:p w14:paraId="16AA045A">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（一）机构组成：</w:t>
      </w:r>
    </w:p>
    <w:p w14:paraId="12E4AA7D">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en-US" w:eastAsia="zh-CN"/>
        </w:rPr>
        <w:t>区委宣传部</w:t>
      </w:r>
      <w:r>
        <w:rPr>
          <w:rFonts w:hint="eastAsia" w:hAnsi="Calibri" w:cs="仿宋"/>
          <w:sz w:val="32"/>
          <w:szCs w:val="32"/>
          <w:lang w:val="zh-CN" w:eastAsia="zh-CN"/>
        </w:rPr>
        <w:t>共有直属事业单位4个：区网络安全和信息化服务中心（机构规格：</w:t>
      </w:r>
      <w:r>
        <w:rPr>
          <w:rFonts w:hint="eastAsia" w:hAnsi="Calibri" w:cs="仿宋"/>
          <w:sz w:val="32"/>
          <w:szCs w:val="32"/>
          <w:lang w:val="en-US" w:eastAsia="zh-CN"/>
        </w:rPr>
        <w:t>副科级</w:t>
      </w:r>
      <w:r>
        <w:rPr>
          <w:rFonts w:hint="eastAsia" w:hAnsi="Calibri" w:cs="仿宋"/>
          <w:sz w:val="32"/>
          <w:szCs w:val="32"/>
          <w:lang w:val="zh-CN" w:eastAsia="zh-CN"/>
        </w:rPr>
        <w:t>），区思研会（机构规格：</w:t>
      </w:r>
      <w:r>
        <w:rPr>
          <w:rFonts w:hint="eastAsia" w:hAnsi="Calibri" w:cs="仿宋"/>
          <w:sz w:val="32"/>
          <w:szCs w:val="32"/>
          <w:lang w:val="en-US" w:eastAsia="zh-CN"/>
        </w:rPr>
        <w:t>正科级</w:t>
      </w:r>
      <w:r>
        <w:rPr>
          <w:rFonts w:hint="eastAsia" w:hAnsi="Calibri" w:cs="仿宋"/>
          <w:sz w:val="32"/>
          <w:szCs w:val="32"/>
          <w:lang w:val="zh-CN" w:eastAsia="zh-CN"/>
        </w:rPr>
        <w:t>）、区社科联（机构规格：</w:t>
      </w:r>
      <w:r>
        <w:rPr>
          <w:rFonts w:hint="eastAsia" w:hAnsi="Calibri" w:cs="仿宋"/>
          <w:sz w:val="32"/>
          <w:szCs w:val="32"/>
          <w:lang w:val="en-US" w:eastAsia="zh-CN"/>
        </w:rPr>
        <w:t>正科级</w:t>
      </w:r>
      <w:r>
        <w:rPr>
          <w:rFonts w:hint="eastAsia" w:hAnsi="Calibri" w:cs="仿宋"/>
          <w:sz w:val="32"/>
          <w:szCs w:val="32"/>
          <w:lang w:val="zh-CN" w:eastAsia="zh-CN"/>
        </w:rPr>
        <w:t>）、区文联（机构规格：</w:t>
      </w:r>
      <w:r>
        <w:rPr>
          <w:rFonts w:hint="eastAsia" w:hAnsi="Calibri" w:cs="仿宋"/>
          <w:sz w:val="32"/>
          <w:szCs w:val="32"/>
          <w:lang w:val="en-US" w:eastAsia="zh-CN"/>
        </w:rPr>
        <w:t>正科级</w:t>
      </w:r>
      <w:r>
        <w:rPr>
          <w:rFonts w:hint="eastAsia" w:hAnsi="Calibri" w:cs="仿宋"/>
          <w:sz w:val="32"/>
          <w:szCs w:val="32"/>
          <w:lang w:val="zh-CN" w:eastAsia="zh-CN"/>
        </w:rPr>
        <w:t>），代管事业单位1个：区融媒体中心。</w:t>
      </w:r>
    </w:p>
    <w:p w14:paraId="04FEC734">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（二）机构职能：</w:t>
      </w:r>
    </w:p>
    <w:p w14:paraId="3E532464">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1.拟订全区宣传思想文化工作重大政策和事业产业发展总体规划，统筹协调推进宣传思想文化领域法治建设，按照区委统一部署，协调宣传思想文化系统各部门（单位）之间的工作。</w:t>
      </w:r>
    </w:p>
    <w:p w14:paraId="5F142385">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2.统筹协调全区党的意识形态工作，贯彻落实党中央、省委、市委和区委关于意识形态工作的决策部署，组织协调意识形态工作责任制落实和日常监督检查，分析研判意识形态领域情况，配合巡视巡察工作开展专项检查。</w:t>
      </w:r>
    </w:p>
    <w:p w14:paraId="3B962DB0">
      <w:pPr>
        <w:pStyle w:val="5"/>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rPr>
          <w:rFonts w:hint="eastAsia" w:hAnsi="Calibri" w:cs="仿宋"/>
          <w:sz w:val="32"/>
          <w:szCs w:val="32"/>
          <w:lang w:val="zh-CN" w:eastAsia="zh-CN"/>
        </w:rPr>
      </w:pPr>
      <w:r>
        <w:rPr>
          <w:rFonts w:hint="eastAsia" w:hAnsi="Calibri" w:cs="仿宋"/>
          <w:sz w:val="32"/>
          <w:szCs w:val="32"/>
          <w:lang w:val="zh-CN" w:eastAsia="zh-CN"/>
        </w:rPr>
        <w:t>3.统筹指导协调理论研究、理论学习、理论宣传工作，组织推动理论武装工作，指导推动哲学社会科学工作，实施马克思主义理论研究和建设工程。</w:t>
      </w:r>
    </w:p>
    <w:p w14:paraId="0945DD2C">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4.负责规划组织全局性思想政治工作，配合区委组织部做好党员教育工作，会同有关部门研究和改进群众思想教育工作。组织重大先进典型的学习和推广。</w:t>
      </w:r>
    </w:p>
    <w:p w14:paraId="6A31238D">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5.统筹指导协调推动精神文化产品的创作和生产，协调组织中华优秀传统文化传承发展工作，指导协调推动群众文化建设。</w:t>
      </w:r>
    </w:p>
    <w:p w14:paraId="4BC51CED">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6.统筹组织协调精神文明建设工作，协调推动群众性精神文明创建、公民思想道德建设和志愿服务工作。</w:t>
      </w:r>
    </w:p>
    <w:p w14:paraId="4000CE6B">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7.统筹分析研判和引导社会舆论，指导协调区级新闻单位工作，负责组织协调重大新闻宣传活动和重大突发公共事件应急新闻工作。</w:t>
      </w:r>
    </w:p>
    <w:p w14:paraId="7E698102">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8.统筹协调对外宣传工作，组织指导重大对外宣传活动和对外文化交流工作。负责联系中央、省、市和区外新闻单位及驻巴机构，会同有关部门做好境外来访记者采访事务方面的工作。</w:t>
      </w:r>
    </w:p>
    <w:p w14:paraId="1613EA28">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9.负责人权宣传工作的组织协调，会同有关部门组织涉及反邪教等方面的对外宣传和舆论斗争工作。</w:t>
      </w:r>
    </w:p>
    <w:p w14:paraId="7D8947BC">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10.统筹协调全区网络安全和信息化工作，组织研究拟订全区网络安全和信息化发展规划和重大政策。宏观指导网络舆情信息有关工作等。负责互联网安全、信息内容监督管理执法。指导和管理互联网违法和不良信息举报工作。</w:t>
      </w:r>
    </w:p>
    <w:p w14:paraId="3D82300D">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11.统筹指导舆情信息工作，组织协调开展舆情信息收集分析研判工作，跟踪了解、研究掌握宣传舆情动态。统筹协调网络意识形态工作，负责指导、督促、检查网络意识形态工作责任制的贯彻落实，组织开展网络意识形态工作专题督查。统筹协调新媒体的建设与管理。</w:t>
      </w:r>
    </w:p>
    <w:p w14:paraId="7177F5EA">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12.统筹协调组织开展新闻发布工作，承担区委新闻发布有关组织协调工作，负责区政府新闻发布组织实施工作，指导区委、区政府各部门（单位）和乡镇（街道办事处）新闻发布工作，推动新闻发言人制度建设。拟订全区重大问题宣传口径。</w:t>
      </w:r>
    </w:p>
    <w:p w14:paraId="5AFE753A">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13.对新闻出版、文化艺术、广播电视、电影和旅游业改革发展研究提出政策性建议，统筹指导推进文化体制改革和文化事业、文化产业及旅游业发展，统筹区属国有文化资产监管工作，组织研究区属国有文化资产监管重大政策，会同有关单位负责相关工作开展。</w:t>
      </w:r>
    </w:p>
    <w:p w14:paraId="0B962EB8">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14.负责管理新闻出版行政事务和所涉及的行政审批工作，监督管理出版物内容和质量，监督管理印刷业，管理著作权等。组织指导协调“扫黄打非”工作。负责中央、省、市和区外新闻媒体驻巴机构的监督管理。负责新闻记者证管理工作。</w:t>
      </w:r>
    </w:p>
    <w:p w14:paraId="7A9DFB5D">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15.负责管理电影行政事务和所涉及的行政审批、监督管理工作，指导协调和参与重大电影活动和电影对外合作交流等。</w:t>
      </w:r>
    </w:p>
    <w:p w14:paraId="10E517E4">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16.受区委委托，会同区委组织部管理文化旅游、新闻、出版、广播电视、电影、社会科学研究和互联网信息等方面区直宣传思想文化单位的领导干部。协助区委管理宣传系统干部。对乡镇宣传委员的任免提出意见。负责有关重要宣传舆论阵地和重要岗位领导干部管理。负责组织开展宣传思想文化战线干部教育培训和人才工作。</w:t>
      </w:r>
    </w:p>
    <w:p w14:paraId="4A3B9A5C">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17.归口领导区文化广播电视和旅游局、区文旅融合发展服务中心等宣传思想文化和旅游单位。受区委委托，代管区文联、区作协、区社科联、区政研会、区融媒体中心等宣传思想文化和旅游单位。</w:t>
      </w:r>
    </w:p>
    <w:p w14:paraId="045FB75A">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18.承担区委网络安全和信息化委员会、区精神文明建设委员会、区委宣传思想工作领导小组、区“扫黄打非”工作领导小组、区文化体制改革和文化产业发展工作领导小组、区属国有文化资产监督管理委员会等的日常工作。</w:t>
      </w:r>
    </w:p>
    <w:p w14:paraId="52949AEA">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19.完成区委交办的其他任务。</w:t>
      </w:r>
    </w:p>
    <w:p w14:paraId="65A27633">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（三）人员概况：</w:t>
      </w:r>
    </w:p>
    <w:p w14:paraId="0347F7F1">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区委宣传部</w:t>
      </w:r>
      <w:r>
        <w:rPr>
          <w:rFonts w:hint="eastAsia" w:hAnsi="Calibri" w:cs="仿宋"/>
          <w:sz w:val="32"/>
          <w:szCs w:val="32"/>
          <w:lang w:val="en-US" w:eastAsia="zh-CN"/>
        </w:rPr>
        <w:t>现有</w:t>
      </w:r>
      <w:r>
        <w:rPr>
          <w:rFonts w:hint="eastAsia" w:hAnsi="Calibri" w:cs="仿宋"/>
          <w:sz w:val="32"/>
          <w:szCs w:val="32"/>
          <w:lang w:val="zh-CN" w:eastAsia="zh-CN"/>
        </w:rPr>
        <w:t>行政编制数11个，单列管理行政编制1名，</w:t>
      </w:r>
      <w:r>
        <w:rPr>
          <w:rFonts w:hint="eastAsia" w:hAnsi="Calibri" w:cs="仿宋"/>
          <w:sz w:val="32"/>
          <w:szCs w:val="32"/>
          <w:lang w:val="en-US" w:eastAsia="zh-CN"/>
        </w:rPr>
        <w:t>空缺2名</w:t>
      </w:r>
      <w:r>
        <w:rPr>
          <w:rFonts w:hint="eastAsia" w:hAnsi="Calibri" w:cs="仿宋"/>
          <w:sz w:val="32"/>
          <w:szCs w:val="32"/>
          <w:lang w:val="zh-CN" w:eastAsia="zh-CN"/>
        </w:rPr>
        <w:t>。机关工勤编制2个，</w:t>
      </w:r>
      <w:r>
        <w:rPr>
          <w:rFonts w:hint="eastAsia" w:hAnsi="Calibri" w:cs="仿宋"/>
          <w:sz w:val="32"/>
          <w:szCs w:val="32"/>
          <w:lang w:val="en-US" w:eastAsia="zh-CN"/>
        </w:rPr>
        <w:t>空缺</w:t>
      </w:r>
      <w:r>
        <w:rPr>
          <w:rFonts w:hint="eastAsia" w:hAnsi="Calibri" w:cs="仿宋"/>
          <w:sz w:val="32"/>
          <w:szCs w:val="32"/>
          <w:lang w:val="zh-CN" w:eastAsia="zh-CN"/>
        </w:rPr>
        <w:t>1</w:t>
      </w:r>
      <w:r>
        <w:rPr>
          <w:rFonts w:hint="eastAsia" w:hAnsi="Calibri" w:cs="仿宋"/>
          <w:sz w:val="32"/>
          <w:szCs w:val="32"/>
          <w:lang w:val="en-US" w:eastAsia="zh-CN"/>
        </w:rPr>
        <w:t>个</w:t>
      </w:r>
      <w:r>
        <w:rPr>
          <w:rFonts w:hint="eastAsia" w:hAnsi="Calibri" w:cs="仿宋"/>
          <w:sz w:val="32"/>
          <w:szCs w:val="32"/>
          <w:lang w:val="zh-CN" w:eastAsia="zh-CN"/>
        </w:rPr>
        <w:t>。直属事业单位编制1</w:t>
      </w:r>
      <w:r>
        <w:rPr>
          <w:rFonts w:hint="eastAsia" w:hAnsi="Calibri" w:cs="仿宋"/>
          <w:sz w:val="32"/>
          <w:szCs w:val="32"/>
          <w:lang w:val="en-US" w:eastAsia="zh-CN"/>
        </w:rPr>
        <w:t>2</w:t>
      </w:r>
      <w:r>
        <w:rPr>
          <w:rFonts w:hint="eastAsia" w:hAnsi="Calibri" w:cs="仿宋"/>
          <w:sz w:val="32"/>
          <w:szCs w:val="32"/>
          <w:lang w:val="zh-CN" w:eastAsia="zh-CN"/>
        </w:rPr>
        <w:t>名，截止202</w:t>
      </w:r>
      <w:r>
        <w:rPr>
          <w:rFonts w:hint="eastAsia" w:hAnsi="Calibri" w:cs="仿宋"/>
          <w:sz w:val="32"/>
          <w:szCs w:val="32"/>
          <w:lang w:val="en-US" w:eastAsia="zh-CN"/>
        </w:rPr>
        <w:t>3</w:t>
      </w:r>
      <w:r>
        <w:rPr>
          <w:rFonts w:hint="eastAsia" w:hAnsi="Calibri" w:cs="仿宋"/>
          <w:sz w:val="32"/>
          <w:szCs w:val="32"/>
          <w:lang w:val="zh-CN" w:eastAsia="zh-CN"/>
        </w:rPr>
        <w:t>年底空缺</w:t>
      </w:r>
      <w:r>
        <w:rPr>
          <w:rFonts w:hint="eastAsia" w:hAnsi="Calibri" w:cs="仿宋"/>
          <w:sz w:val="32"/>
          <w:szCs w:val="32"/>
          <w:lang w:val="en-US" w:eastAsia="zh-CN"/>
        </w:rPr>
        <w:t>1</w:t>
      </w:r>
      <w:r>
        <w:rPr>
          <w:rFonts w:hint="eastAsia" w:hAnsi="Calibri" w:cs="仿宋"/>
          <w:sz w:val="32"/>
          <w:szCs w:val="32"/>
          <w:lang w:val="zh-CN" w:eastAsia="zh-CN"/>
        </w:rPr>
        <w:t>名。</w:t>
      </w:r>
    </w:p>
    <w:p w14:paraId="5139EC50">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rPr>
      </w:pPr>
      <w:r>
        <w:rPr>
          <w:rFonts w:hint="eastAsia" w:hAnsi="Calibri" w:cs="仿宋"/>
          <w:sz w:val="32"/>
          <w:szCs w:val="32"/>
          <w:lang w:val="zh-CN"/>
        </w:rPr>
        <w:t>二、部门财政资金收支情况</w:t>
      </w:r>
    </w:p>
    <w:p w14:paraId="4449517D">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（一）部门财政资金收入情况</w:t>
      </w:r>
    </w:p>
    <w:p w14:paraId="0C07FD8B">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本单位全年财政预算收入</w:t>
      </w:r>
      <w:r>
        <w:rPr>
          <w:rFonts w:hint="eastAsia" w:hAnsi="Calibri" w:cs="仿宋"/>
          <w:sz w:val="32"/>
          <w:szCs w:val="32"/>
          <w:lang w:val="en-US" w:eastAsia="zh-CN"/>
        </w:rPr>
        <w:t>1521.06</w:t>
      </w:r>
      <w:r>
        <w:rPr>
          <w:rFonts w:hint="eastAsia" w:hAnsi="Calibri" w:cs="仿宋"/>
          <w:sz w:val="32"/>
          <w:szCs w:val="32"/>
          <w:lang w:val="zh-CN" w:eastAsia="zh-CN"/>
        </w:rPr>
        <w:t>万元，其中：一般公共预算财政拨款收入1323.06万元，政府性基金预算财政拨款收入</w:t>
      </w:r>
      <w:r>
        <w:rPr>
          <w:rFonts w:hint="eastAsia" w:hAnsi="Calibri" w:cs="仿宋"/>
          <w:sz w:val="32"/>
          <w:szCs w:val="32"/>
          <w:lang w:val="en-US" w:eastAsia="zh-CN"/>
        </w:rPr>
        <w:t>198</w:t>
      </w:r>
      <w:r>
        <w:rPr>
          <w:rFonts w:hint="eastAsia" w:hAnsi="Calibri" w:cs="仿宋"/>
          <w:sz w:val="32"/>
          <w:szCs w:val="32"/>
          <w:lang w:val="zh-CN" w:eastAsia="zh-CN"/>
        </w:rPr>
        <w:t xml:space="preserve">万元，国有资本经营预算财政拨款0元。   </w:t>
      </w:r>
    </w:p>
    <w:p w14:paraId="4939EF58">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w:t>
      </w:r>
      <w:r>
        <w:rPr>
          <w:rFonts w:hint="eastAsia" w:hAnsi="Calibri" w:cs="仿宋"/>
          <w:sz w:val="32"/>
          <w:szCs w:val="32"/>
          <w:lang w:val="en-US" w:eastAsia="zh-CN"/>
        </w:rPr>
        <w:t>二</w:t>
      </w:r>
      <w:r>
        <w:rPr>
          <w:rFonts w:hint="eastAsia" w:hAnsi="Calibri" w:cs="仿宋"/>
          <w:sz w:val="32"/>
          <w:szCs w:val="32"/>
          <w:lang w:val="zh-CN" w:eastAsia="zh-CN"/>
        </w:rPr>
        <w:t>）部门财政资金支出情况</w:t>
      </w:r>
    </w:p>
    <w:p w14:paraId="471E5200">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en-US" w:eastAsia="zh-CN"/>
        </w:rPr>
      </w:pPr>
      <w:r>
        <w:rPr>
          <w:rFonts w:hint="eastAsia" w:hAnsi="Calibri" w:cs="仿宋"/>
          <w:sz w:val="32"/>
          <w:szCs w:val="32"/>
          <w:lang w:val="zh-CN" w:eastAsia="zh-CN"/>
        </w:rPr>
        <w:t>本单位一般公共服务支出1047.43万元，文化旅游体育与传媒支出232.16万元，社会保障和就业支出39.8万元，卫生健康支出19.3万元，城乡社区支出150万元，住房保障支出32.37万元。</w:t>
      </w:r>
      <w:r>
        <w:rPr>
          <w:rFonts w:hint="eastAsia" w:hAnsi="Calibri" w:cs="仿宋"/>
          <w:sz w:val="32"/>
          <w:szCs w:val="32"/>
          <w:lang w:val="en-US" w:eastAsia="zh-CN"/>
        </w:rPr>
        <w:t xml:space="preserve">   </w:t>
      </w:r>
    </w:p>
    <w:p w14:paraId="5B3FCE7C">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Ansi="Calibri" w:cs="仿宋"/>
          <w:sz w:val="32"/>
          <w:szCs w:val="32"/>
        </w:rPr>
      </w:pPr>
      <w:r>
        <w:rPr>
          <w:rFonts w:hint="eastAsia" w:hAnsi="Calibri" w:cs="仿宋"/>
          <w:sz w:val="32"/>
          <w:szCs w:val="32"/>
        </w:rPr>
        <w:t>三、部门财政支出管理情况</w:t>
      </w:r>
    </w:p>
    <w:p w14:paraId="373D60DF">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（一）制度建设情况</w:t>
      </w:r>
    </w:p>
    <w:p w14:paraId="4116AF1C">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按照上级有关规定，结合单位实际，</w:t>
      </w:r>
      <w:r>
        <w:rPr>
          <w:rFonts w:hint="eastAsia" w:hAnsi="Calibri" w:cs="仿宋"/>
          <w:sz w:val="32"/>
          <w:szCs w:val="32"/>
          <w:lang w:val="en-US" w:eastAsia="zh-CN"/>
        </w:rPr>
        <w:t>于2021年修订完善了《中共巴中市巴州区委宣传部财务管理制度》</w:t>
      </w:r>
      <w:r>
        <w:rPr>
          <w:rFonts w:hint="eastAsia" w:hAnsi="Calibri" w:cs="仿宋"/>
          <w:sz w:val="32"/>
          <w:szCs w:val="32"/>
          <w:lang w:val="zh-CN" w:eastAsia="zh-CN"/>
        </w:rPr>
        <w:t>等一系列规章制度</w:t>
      </w:r>
      <w:r>
        <w:rPr>
          <w:rFonts w:hint="eastAsia" w:hAnsi="Calibri" w:cs="仿宋"/>
          <w:sz w:val="32"/>
          <w:szCs w:val="32"/>
          <w:lang w:val="en-US" w:eastAsia="zh-CN"/>
        </w:rPr>
        <w:t>，并编制了</w:t>
      </w:r>
      <w:r>
        <w:rPr>
          <w:rFonts w:hint="eastAsia" w:hAnsi="Calibri" w:cs="仿宋"/>
          <w:sz w:val="32"/>
          <w:szCs w:val="32"/>
          <w:lang w:val="zh-CN" w:eastAsia="zh-CN"/>
        </w:rPr>
        <w:t>《</w:t>
      </w:r>
      <w:r>
        <w:rPr>
          <w:rFonts w:hint="eastAsia" w:hAnsi="Calibri" w:cs="仿宋"/>
          <w:sz w:val="32"/>
          <w:szCs w:val="32"/>
          <w:lang w:val="en-US" w:eastAsia="zh-CN"/>
        </w:rPr>
        <w:t>中共巴中市巴州区委宣传部内部管理制度汇编</w:t>
      </w:r>
      <w:r>
        <w:rPr>
          <w:rFonts w:hint="eastAsia" w:hAnsi="Calibri" w:cs="仿宋"/>
          <w:sz w:val="32"/>
          <w:szCs w:val="32"/>
          <w:lang w:val="zh-CN" w:eastAsia="zh-CN"/>
        </w:rPr>
        <w:t>》。同时，按照</w:t>
      </w:r>
      <w:r>
        <w:rPr>
          <w:rFonts w:hint="eastAsia" w:hAnsi="Calibri" w:cs="仿宋"/>
          <w:sz w:val="32"/>
          <w:szCs w:val="32"/>
          <w:lang w:val="en-US" w:eastAsia="zh-CN"/>
        </w:rPr>
        <w:t>区</w:t>
      </w:r>
      <w:r>
        <w:rPr>
          <w:rFonts w:hint="eastAsia" w:hAnsi="Calibri" w:cs="仿宋"/>
          <w:sz w:val="32"/>
          <w:szCs w:val="32"/>
          <w:lang w:val="zh-CN" w:eastAsia="zh-CN"/>
        </w:rPr>
        <w:t>财政的要求，规范了政府采购、公务卡结算制度等。</w:t>
      </w:r>
    </w:p>
    <w:p w14:paraId="57DC31AB">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（二）绩效目标管理情况</w:t>
      </w:r>
    </w:p>
    <w:p w14:paraId="78A5C0E4">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年初，按照财政预算口径，结合单位职能职责，在编报项目预算时同步编报项目绩效预算，与单位年度工作相衔接，为确保各项工作顺利完成提供有力保障。</w:t>
      </w:r>
    </w:p>
    <w:p w14:paraId="46C8579F">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（三）综合管理情况</w:t>
      </w:r>
    </w:p>
    <w:p w14:paraId="483BAA1A">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1、政府性债务管理情况。严格执行政府性债务相关规定，我单位202</w:t>
      </w:r>
      <w:r>
        <w:rPr>
          <w:rFonts w:hint="eastAsia" w:hAnsi="Calibri" w:cs="仿宋"/>
          <w:sz w:val="32"/>
          <w:szCs w:val="32"/>
          <w:lang w:val="en-US" w:eastAsia="zh-CN"/>
        </w:rPr>
        <w:t>3</w:t>
      </w:r>
      <w:r>
        <w:rPr>
          <w:rFonts w:hint="eastAsia" w:hAnsi="Calibri" w:cs="仿宋"/>
          <w:sz w:val="32"/>
          <w:szCs w:val="32"/>
          <w:lang w:val="zh-CN" w:eastAsia="zh-CN"/>
        </w:rPr>
        <w:t>年无政府性债务。</w:t>
      </w:r>
    </w:p>
    <w:p w14:paraId="4D948300">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2、政府采购管理情况。严格遵守《中华人民共和国政府采购法》、《政府采购货物和服务招标投标管理办法》等政府采购相关法律法规，严格执行单位政府采购相关管理制度，严格按照政府采购目录及相关规定确定政府采购组织形式与方式，加强政府采购内部监督管理，严格履行政府采购审批程序。</w:t>
      </w:r>
    </w:p>
    <w:p w14:paraId="4B12A973">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3、财务管理情况。严格执行《预算法》《政府会计制度》，建立机关财务管理制度，规范账务处理，会计凭证和财务报告真实完整。加强三公经费管理，严控三公经费支出，严格报账审核，严把审批支付关口。机关公务接待、会议费、差旅费严格按照相关管理办法执行。</w:t>
      </w:r>
    </w:p>
    <w:p w14:paraId="620E4B07">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4、资产管理情况。严格执行《行政单位国有资产管理暂行办法》（财政部令第 35号）、《事业单位国有资产管理暂行办法》（财政部令第36号），加强资产管理，建立资产管理制度，将各类资产录入国有资产管理信息系统，分类建立资产卡片，实行资产动态管理。同时单位资产实行“谁使用、谁负责”的管理原则，及时进行资产清查盘点，确保了账实相符。</w:t>
      </w:r>
    </w:p>
    <w:p w14:paraId="7D7BDCCC">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5、信息公开情况。按照财政要求，及时在预决算批复后20日内，在政府网</w:t>
      </w:r>
      <w:r>
        <w:rPr>
          <w:rFonts w:hint="eastAsia" w:hAnsi="Calibri" w:cs="仿宋"/>
          <w:sz w:val="32"/>
          <w:szCs w:val="32"/>
          <w:lang w:val="en-US" w:eastAsia="zh-CN"/>
        </w:rPr>
        <w:t>门户</w:t>
      </w:r>
      <w:r>
        <w:rPr>
          <w:rFonts w:hint="eastAsia" w:hAnsi="Calibri" w:cs="仿宋"/>
          <w:sz w:val="32"/>
          <w:szCs w:val="32"/>
          <w:lang w:val="zh-CN" w:eastAsia="zh-CN"/>
        </w:rPr>
        <w:t>站进行了信息公开，公开内容真实、完整。</w:t>
      </w:r>
    </w:p>
    <w:p w14:paraId="18A1AB7B">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6、依法接受财政、审计、纪检监察、巡查等部门的监督检查。严守财经法规，严格财经纪律，依法接受财政、审计、巡察、派驻纪检监督，按时上报各类资料。</w:t>
      </w:r>
    </w:p>
    <w:p w14:paraId="7DF7359B">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（四）综合绩效情况</w:t>
      </w:r>
    </w:p>
    <w:p w14:paraId="6C7429E6">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default" w:hAnsi="Calibri" w:cs="仿宋"/>
          <w:sz w:val="32"/>
          <w:szCs w:val="32"/>
          <w:lang w:val="en-US" w:eastAsia="zh-CN"/>
        </w:rPr>
      </w:pPr>
      <w:r>
        <w:rPr>
          <w:rFonts w:hint="eastAsia" w:hAnsi="Calibri" w:cs="仿宋"/>
          <w:sz w:val="32"/>
          <w:szCs w:val="32"/>
          <w:lang w:val="en-US" w:eastAsia="zh-CN"/>
        </w:rPr>
        <w:t>1.</w:t>
      </w:r>
      <w:r>
        <w:rPr>
          <w:rFonts w:hint="default" w:hAnsi="Calibri" w:cs="仿宋"/>
          <w:sz w:val="32"/>
          <w:szCs w:val="32"/>
          <w:lang w:val="en-US" w:eastAsia="zh-CN"/>
        </w:rPr>
        <w:t>2023年部门项目</w:t>
      </w:r>
      <w:r>
        <w:rPr>
          <w:rFonts w:hint="eastAsia" w:hAnsi="Calibri" w:cs="仿宋"/>
          <w:sz w:val="32"/>
          <w:szCs w:val="32"/>
          <w:lang w:val="en-US" w:eastAsia="zh-CN"/>
        </w:rPr>
        <w:t>绩效</w:t>
      </w:r>
      <w:r>
        <w:rPr>
          <w:rFonts w:hint="default" w:hAnsi="Calibri" w:cs="仿宋"/>
          <w:sz w:val="32"/>
          <w:szCs w:val="32"/>
          <w:lang w:val="en-US" w:eastAsia="zh-CN"/>
        </w:rPr>
        <w:t>情况</w:t>
      </w:r>
    </w:p>
    <w:p w14:paraId="2BA95035">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default" w:hAnsi="Calibri" w:cs="仿宋"/>
          <w:sz w:val="32"/>
          <w:szCs w:val="32"/>
          <w:lang w:val="en-US" w:eastAsia="zh-CN"/>
        </w:rPr>
      </w:pPr>
      <w:r>
        <w:rPr>
          <w:rFonts w:hint="default" w:hAnsi="Calibri" w:cs="仿宋"/>
          <w:sz w:val="32"/>
          <w:szCs w:val="32"/>
          <w:lang w:val="en-US" w:eastAsia="zh-CN"/>
        </w:rPr>
        <w:t>舆情监控指导费用</w:t>
      </w:r>
      <w:r>
        <w:rPr>
          <w:rFonts w:hint="eastAsia" w:hAnsi="Calibri" w:cs="仿宋"/>
          <w:sz w:val="32"/>
          <w:szCs w:val="32"/>
          <w:lang w:val="en-US" w:eastAsia="zh-CN"/>
        </w:rPr>
        <w:t>：通过对网站、微博、微信、论坛、贴吧、App、网络视频、小视频、电子报刊等全网信息进行监测，共监测到涉巴州区敏感网络舆情809条，较去年同期增加53条，同比上升7.01%，均为一般级别。部门联动及时妥善化解处置江湾城国企员工打人、枣林镇打车花80元被婆家罚跪家门口、杨坝小院家乐养老医疗服务中心与业主纠纷、置信逸都花园小区物业更换引发群体争执等事件网络风险，未发生重大敏感舆情。</w:t>
      </w:r>
    </w:p>
    <w:p w14:paraId="70C6EE95">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default" w:hAnsi="Calibri" w:cs="仿宋"/>
          <w:sz w:val="32"/>
          <w:szCs w:val="32"/>
          <w:lang w:val="en-US" w:eastAsia="zh-CN"/>
        </w:rPr>
      </w:pPr>
      <w:r>
        <w:rPr>
          <w:rFonts w:hint="default" w:hAnsi="Calibri" w:cs="仿宋"/>
          <w:sz w:val="32"/>
          <w:szCs w:val="32"/>
          <w:lang w:val="en-US" w:eastAsia="zh-CN"/>
        </w:rPr>
        <w:t>中央、省、市重大会议或活动社会氛围营造经费</w:t>
      </w:r>
      <w:r>
        <w:rPr>
          <w:rFonts w:hint="eastAsia" w:hAnsi="Calibri" w:cs="仿宋"/>
          <w:sz w:val="32"/>
          <w:szCs w:val="32"/>
          <w:lang w:val="en-US" w:eastAsia="zh-CN"/>
        </w:rPr>
        <w:t>：主要用于重大会议、重要活动的社会宣传，围绕农洽会、天马山避暑旅游季、巴人文化艺术节、巴中市巴州区首届“巴商回家”暨2023年新年茶话等大型活动，在高速出入口、灯杆、主题墙等点位设置大型宣传标语20余处、道旗300余根，营造了团结奋进浓厚氛围。</w:t>
      </w:r>
    </w:p>
    <w:p w14:paraId="395CD6E9">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default" w:hAnsi="Calibri" w:cs="仿宋"/>
          <w:sz w:val="32"/>
          <w:szCs w:val="32"/>
          <w:lang w:val="en-US" w:eastAsia="zh-CN"/>
        </w:rPr>
      </w:pPr>
      <w:r>
        <w:rPr>
          <w:rFonts w:hint="default" w:hAnsi="Calibri" w:cs="仿宋"/>
          <w:sz w:val="32"/>
          <w:szCs w:val="32"/>
          <w:lang w:val="en-US" w:eastAsia="zh-CN"/>
        </w:rPr>
        <w:t>宣传经费及主流媒体合作经费</w:t>
      </w:r>
      <w:r>
        <w:rPr>
          <w:rFonts w:hint="eastAsia" w:hAnsi="Calibri" w:cs="仿宋"/>
          <w:sz w:val="32"/>
          <w:szCs w:val="32"/>
          <w:lang w:val="en-US" w:eastAsia="zh-CN"/>
        </w:rPr>
        <w:t>：2023年巴州区外宣紧扣学习宣传贯彻党的二十大精神这条主线，用活用好对外宣传工作联席会议机制，积极对接中央和省、市级主流媒体关注呈现生动实践、巴州成就，聚焦党的建设、主题教育、重点工业发展、“双年行动”等重点工作，深入开展重大主题宣传，在市级及以上主流媒体刊发稿件1200余篇（条），人民日报5篇，新华社6篇，中央电视台12条，人民网40篇，四川日报25篇，四川电视台39条，巴中日报专题35篇，巴州经验屡屡“上镜”大报大台大网，立体展示全区振兴发展新气象新作为。</w:t>
      </w:r>
    </w:p>
    <w:p w14:paraId="20D47403">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default" w:hAnsi="Calibri" w:cs="仿宋"/>
          <w:sz w:val="32"/>
          <w:szCs w:val="32"/>
          <w:lang w:val="en-US" w:eastAsia="zh-CN"/>
        </w:rPr>
      </w:pPr>
      <w:r>
        <w:rPr>
          <w:rFonts w:hint="default" w:hAnsi="Calibri" w:cs="仿宋"/>
          <w:sz w:val="32"/>
          <w:szCs w:val="32"/>
          <w:lang w:val="en-US" w:eastAsia="zh-CN"/>
        </w:rPr>
        <w:t>文化活动及文化建设</w:t>
      </w:r>
      <w:r>
        <w:rPr>
          <w:rFonts w:hint="eastAsia" w:hAnsi="Calibri" w:cs="仿宋"/>
          <w:sz w:val="32"/>
          <w:szCs w:val="32"/>
          <w:lang w:val="en-US" w:eastAsia="zh-CN"/>
        </w:rPr>
        <w:t>：2023年文艺精品创作再上台阶。《蜀道》《像花儿一样》《望巴山》《小草》4部作品荣获巴中市2022年度“六个一”文艺精品奖励；少儿川剧《新官上任》荣获第二十七届“中国少儿戏曲小梅花荟萃”活动“小梅花”奖；四川扬琴《蜀道》、四川曲艺音乐剧《周永开》选段《灵魂之问》亮相第三届四川艺术节，曲艺音乐剧《周永开》将角逐本届文华奖。策划举办“天马山避暑季”“山水化湖桃花节”“苏山坪火锅节”等系列节事活动20余场次。打造云上青山曲艺小镇，曲艺民宿风格独具特色，曲艺乐园西部第一；天马山镇成功创建四川省第三批天府旅游名镇，天马山森林康养旅游度假区荣获新一批省级旅游度假区，平梁镇青包山村入选第四批省级乡村旅游重点村；包装储备巴州区非物质文化遗产展演中心建设项目等6个文旅产业项目，新培育巴中市文旅文化体育传媒有限公司等2家拟入库规上文化企业。开发《巴山巴水杯》等文创作品8件（套），在第三届四川省红色文创大赛中摘得1银2铜，在第四届“巴中有礼”文化旅游商品创意大赛中获得3银4优。</w:t>
      </w:r>
    </w:p>
    <w:p w14:paraId="0B499B68">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default" w:hAnsi="Calibri" w:cs="仿宋"/>
          <w:sz w:val="32"/>
          <w:szCs w:val="32"/>
          <w:lang w:val="en-US" w:eastAsia="zh-CN"/>
        </w:rPr>
      </w:pPr>
      <w:r>
        <w:t>出版物市场监管及扫黄打非工作经费：2023年巴州区“扫黄打非”战线始终保持高压态势，坚持打防并举、标本兼治、综合治理，扎实开展“清源”“固边”“净网”“秋风”“护苗”五大专项行动，不断创新“护苗”宣传载体，切实守牢基层宣传思想文化阵地，为助推“清爽奋进幸福巴州”建设提供了坚实思想保证、强大精神力量和有力文化条件。按照时间节点，先后组织开展春节、元宵节、全国两会、“五一”假期、国庆节等重要时间节点出版物市场及网络文化环境专项治理，进一步扩大了监管的覆盖面，加大对城乡接合部、农村大集、出租仓库、宗教场所、旅游景点、客运中心的检查力度，打防结合、协作联动。依托“净网”“护苗”“清朗”等专项行动，重点开展涉未成年人有害信息专项整治、电商平台专项整治等，靶向整治低俗色情、网络暴力等网络乱象。 深入推动“绿书签行动”，将“绿书签行动”与全民阅读、“书香巴州”建设相结合，发放“绿书签”海报600余张，发放“绿书签”3000余个，为未成年人健康成长营造向上向善的社会文化氛围。组织“护苗”暑期集中行动、“护苗”开学季等活动，通过举办“护苗”经典诵读、“绿书签行动”主题班会、网络安全进课堂等活动，进一步引导未成年人坚决抵制“黄”“非”出版物和信息。</w:t>
      </w:r>
    </w:p>
    <w:p w14:paraId="0813CFD2">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default" w:hAnsi="Calibri" w:cs="仿宋"/>
          <w:sz w:val="32"/>
          <w:szCs w:val="32"/>
          <w:lang w:val="en-US" w:eastAsia="zh-CN"/>
        </w:rPr>
        <w:t>2．</w:t>
      </w:r>
      <w:r>
        <w:rPr>
          <w:rFonts w:hint="default" w:hAnsi="Calibri" w:cs="仿宋"/>
          <w:sz w:val="32"/>
          <w:szCs w:val="32"/>
          <w:lang w:val="zh-CN" w:eastAsia="zh-CN"/>
        </w:rPr>
        <w:t>部门职能完成情况</w:t>
      </w:r>
    </w:p>
    <w:p w14:paraId="433E419D">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en-US" w:eastAsia="zh-CN"/>
        </w:rPr>
      </w:pPr>
      <w:r>
        <w:rPr>
          <w:rFonts w:hint="eastAsia" w:hAnsi="Calibri" w:cs="仿宋"/>
          <w:sz w:val="32"/>
          <w:szCs w:val="32"/>
          <w:lang w:val="en-US" w:eastAsia="zh-CN"/>
        </w:rPr>
        <w:t>（1）不断夯实理论武装，高扬思想旗帜。一是</w:t>
      </w:r>
      <w:r>
        <w:rPr>
          <w:rFonts w:hint="eastAsia" w:hAnsi="Calibri" w:cs="仿宋"/>
          <w:sz w:val="32"/>
          <w:szCs w:val="32"/>
          <w:lang w:val="zh-CN" w:eastAsia="zh-CN"/>
        </w:rPr>
        <w:t>理论</w:t>
      </w:r>
      <w:r>
        <w:rPr>
          <w:rFonts w:hint="eastAsia" w:hAnsi="Calibri" w:cs="仿宋"/>
          <w:sz w:val="32"/>
          <w:szCs w:val="32"/>
          <w:lang w:val="en-US" w:eastAsia="zh-CN"/>
        </w:rPr>
        <w:t>学习扎实深入</w:t>
      </w:r>
      <w:r>
        <w:rPr>
          <w:rFonts w:hint="eastAsia" w:hAnsi="Calibri" w:cs="仿宋"/>
          <w:sz w:val="32"/>
          <w:szCs w:val="32"/>
          <w:lang w:val="zh-CN" w:eastAsia="zh-CN"/>
        </w:rPr>
        <w:t>。</w:t>
      </w:r>
      <w:r>
        <w:rPr>
          <w:rFonts w:hint="eastAsia" w:hAnsi="Calibri" w:cs="仿宋"/>
          <w:sz w:val="32"/>
          <w:szCs w:val="32"/>
          <w:lang w:val="en-US" w:eastAsia="zh-CN"/>
        </w:rPr>
        <w:t>紧紧</w:t>
      </w:r>
      <w:r>
        <w:rPr>
          <w:rFonts w:hint="eastAsia" w:hAnsi="Calibri" w:cs="仿宋"/>
          <w:sz w:val="32"/>
          <w:szCs w:val="32"/>
          <w:lang w:val="zh-CN" w:eastAsia="zh-CN"/>
        </w:rPr>
        <w:t>围绕学习贯彻</w:t>
      </w:r>
      <w:r>
        <w:rPr>
          <w:rFonts w:hint="eastAsia" w:hAnsi="Calibri" w:cs="仿宋"/>
          <w:sz w:val="32"/>
          <w:szCs w:val="32"/>
          <w:lang w:val="en-US" w:eastAsia="zh-CN"/>
        </w:rPr>
        <w:t>习近平新时代中国特色社会主义思想</w:t>
      </w:r>
      <w:r>
        <w:rPr>
          <w:rFonts w:hint="eastAsia" w:hAnsi="Calibri" w:cs="仿宋"/>
          <w:sz w:val="32"/>
          <w:szCs w:val="32"/>
          <w:lang w:val="zh-CN" w:eastAsia="zh-CN"/>
        </w:rPr>
        <w:t>等主题，</w:t>
      </w:r>
      <w:r>
        <w:rPr>
          <w:rFonts w:hint="eastAsia" w:hAnsi="Calibri" w:cs="仿宋"/>
          <w:sz w:val="32"/>
          <w:szCs w:val="32"/>
          <w:lang w:val="en-US" w:eastAsia="zh-CN"/>
        </w:rPr>
        <w:t>开展区委</w:t>
      </w:r>
      <w:r>
        <w:rPr>
          <w:rFonts w:hint="eastAsia" w:hAnsi="Calibri" w:cs="仿宋"/>
          <w:sz w:val="32"/>
          <w:szCs w:val="32"/>
          <w:lang w:val="zh-CN" w:eastAsia="zh-CN"/>
        </w:rPr>
        <w:t>理论学习中心组学习</w:t>
      </w:r>
      <w:r>
        <w:rPr>
          <w:rFonts w:hint="eastAsia" w:hAnsi="Calibri" w:cs="仿宋"/>
          <w:sz w:val="32"/>
          <w:szCs w:val="32"/>
          <w:lang w:val="en-US" w:eastAsia="zh-CN"/>
        </w:rPr>
        <w:t>8</w:t>
      </w:r>
      <w:r>
        <w:rPr>
          <w:rFonts w:hint="eastAsia" w:hAnsi="Calibri" w:cs="仿宋"/>
          <w:sz w:val="32"/>
          <w:szCs w:val="32"/>
          <w:lang w:val="zh-CN" w:eastAsia="zh-CN"/>
        </w:rPr>
        <w:t>次，带动全</w:t>
      </w:r>
      <w:r>
        <w:rPr>
          <w:rFonts w:hint="eastAsia" w:hAnsi="Calibri" w:cs="仿宋"/>
          <w:sz w:val="32"/>
          <w:szCs w:val="32"/>
          <w:lang w:val="en-US" w:eastAsia="zh-CN"/>
        </w:rPr>
        <w:t>区</w:t>
      </w:r>
      <w:r>
        <w:rPr>
          <w:rFonts w:hint="eastAsia" w:hAnsi="Calibri" w:cs="仿宋"/>
          <w:sz w:val="32"/>
          <w:szCs w:val="32"/>
          <w:lang w:val="zh-CN" w:eastAsia="zh-CN"/>
        </w:rPr>
        <w:t>各级中心组学习</w:t>
      </w:r>
      <w:r>
        <w:rPr>
          <w:rFonts w:hint="eastAsia" w:hAnsi="Calibri" w:cs="仿宋"/>
          <w:sz w:val="32"/>
          <w:szCs w:val="32"/>
          <w:lang w:val="en-US" w:eastAsia="zh-CN"/>
        </w:rPr>
        <w:t>394</w:t>
      </w:r>
      <w:r>
        <w:rPr>
          <w:rFonts w:hint="eastAsia" w:hAnsi="Calibri" w:cs="仿宋"/>
          <w:sz w:val="32"/>
          <w:szCs w:val="32"/>
          <w:lang w:val="zh-CN" w:eastAsia="zh-CN"/>
        </w:rPr>
        <w:t>次，</w:t>
      </w:r>
      <w:r>
        <w:rPr>
          <w:rFonts w:hint="eastAsia" w:hAnsi="Calibri" w:cs="仿宋"/>
          <w:sz w:val="32"/>
          <w:szCs w:val="32"/>
          <w:lang w:val="en-US" w:eastAsia="zh-CN"/>
        </w:rPr>
        <w:t>到区级部门列席旁听37次，</w:t>
      </w:r>
      <w:r>
        <w:rPr>
          <w:rFonts w:hint="eastAsia" w:hAnsi="Calibri" w:cs="仿宋"/>
          <w:sz w:val="32"/>
          <w:szCs w:val="32"/>
          <w:lang w:val="zh-CN" w:eastAsia="zh-CN"/>
        </w:rPr>
        <w:t>持续推动学习的深化、升华。</w:t>
      </w:r>
      <w:r>
        <w:rPr>
          <w:rFonts w:hint="eastAsia" w:hAnsi="Calibri" w:cs="仿宋"/>
          <w:sz w:val="32"/>
          <w:szCs w:val="32"/>
          <w:lang w:val="en-US" w:eastAsia="zh-CN"/>
        </w:rPr>
        <w:t>常态化推送理论读本学习使用，教育引导广大党员干部及时学、系统学、深入学。推广运用“学习强国”学习平台，学员每日参学率达85%以上，平台</w:t>
      </w:r>
      <w:r>
        <w:rPr>
          <w:rFonts w:hint="eastAsia" w:hAnsi="Calibri" w:cs="仿宋"/>
          <w:sz w:val="32"/>
          <w:szCs w:val="32"/>
          <w:lang w:val="zh-CN" w:eastAsia="zh-CN"/>
        </w:rPr>
        <w:t>刊登</w:t>
      </w:r>
      <w:r>
        <w:rPr>
          <w:rFonts w:hint="eastAsia" w:hAnsi="Calibri" w:cs="仿宋"/>
          <w:sz w:val="32"/>
          <w:szCs w:val="32"/>
          <w:lang w:val="en-US" w:eastAsia="zh-CN"/>
        </w:rPr>
        <w:t>巴州</w:t>
      </w:r>
      <w:r>
        <w:rPr>
          <w:rFonts w:hint="eastAsia" w:hAnsi="Calibri" w:cs="仿宋"/>
          <w:sz w:val="32"/>
          <w:szCs w:val="32"/>
          <w:lang w:val="zh-CN" w:eastAsia="zh-CN"/>
        </w:rPr>
        <w:t>稿件</w:t>
      </w:r>
      <w:r>
        <w:rPr>
          <w:rFonts w:hint="eastAsia" w:hAnsi="Calibri" w:cs="仿宋"/>
          <w:sz w:val="32"/>
          <w:szCs w:val="32"/>
          <w:lang w:val="en-US" w:eastAsia="zh-CN"/>
        </w:rPr>
        <w:t>87</w:t>
      </w:r>
      <w:r>
        <w:rPr>
          <w:rFonts w:hint="eastAsia" w:hAnsi="Calibri" w:cs="仿宋"/>
          <w:sz w:val="32"/>
          <w:szCs w:val="32"/>
          <w:lang w:val="zh-CN" w:eastAsia="zh-CN"/>
        </w:rPr>
        <w:t>篇，</w:t>
      </w:r>
      <w:r>
        <w:rPr>
          <w:rFonts w:hint="eastAsia" w:hAnsi="Calibri" w:cs="仿宋"/>
          <w:sz w:val="32"/>
          <w:szCs w:val="32"/>
          <w:lang w:val="en-US" w:eastAsia="zh-CN"/>
        </w:rPr>
        <w:t>切实用党的创新理论武装头脑、推动工作。二是理论宣讲特色鲜明。统筹宣讲人才，建设宣讲队伍41支，开展</w:t>
      </w:r>
      <w:r>
        <w:rPr>
          <w:rFonts w:hint="eastAsia" w:hAnsi="Calibri" w:cs="仿宋"/>
          <w:sz w:val="32"/>
          <w:szCs w:val="32"/>
          <w:lang w:val="zh-CN" w:eastAsia="zh-CN"/>
        </w:rPr>
        <w:t>“六进”</w:t>
      </w:r>
      <w:r>
        <w:rPr>
          <w:rFonts w:hint="eastAsia" w:hAnsi="Calibri" w:cs="仿宋"/>
          <w:sz w:val="32"/>
          <w:szCs w:val="32"/>
          <w:lang w:val="en-US" w:eastAsia="zh-CN"/>
        </w:rPr>
        <w:t>宣讲</w:t>
      </w:r>
      <w:r>
        <w:rPr>
          <w:rFonts w:hint="eastAsia" w:hAnsi="Calibri" w:cs="仿宋"/>
          <w:sz w:val="32"/>
          <w:szCs w:val="32"/>
          <w:lang w:val="zh-CN" w:eastAsia="zh-CN"/>
        </w:rPr>
        <w:t>活动</w:t>
      </w:r>
      <w:r>
        <w:rPr>
          <w:rFonts w:hint="eastAsia" w:hAnsi="Calibri" w:cs="仿宋"/>
          <w:sz w:val="32"/>
          <w:szCs w:val="32"/>
          <w:lang w:val="en-US" w:eastAsia="zh-CN"/>
        </w:rPr>
        <w:t>161</w:t>
      </w:r>
      <w:r>
        <w:rPr>
          <w:rFonts w:hint="eastAsia" w:hAnsi="Calibri" w:cs="仿宋"/>
          <w:sz w:val="32"/>
          <w:szCs w:val="32"/>
          <w:lang w:val="zh-CN" w:eastAsia="zh-CN"/>
        </w:rPr>
        <w:t>场，</w:t>
      </w:r>
      <w:r>
        <w:rPr>
          <w:rFonts w:hint="eastAsia" w:hAnsi="Calibri" w:cs="仿宋"/>
          <w:sz w:val="32"/>
          <w:szCs w:val="32"/>
          <w:lang w:val="en-US" w:eastAsia="zh-CN"/>
        </w:rPr>
        <w:t>制作线上宣讲视频13期，</w:t>
      </w:r>
      <w:r>
        <w:rPr>
          <w:rFonts w:hint="eastAsia" w:hAnsi="Calibri" w:cs="仿宋"/>
          <w:sz w:val="32"/>
          <w:szCs w:val="32"/>
          <w:lang w:val="zh-CN" w:eastAsia="zh-CN"/>
        </w:rPr>
        <w:t>受众</w:t>
      </w:r>
      <w:r>
        <w:rPr>
          <w:rFonts w:hint="eastAsia" w:hAnsi="Calibri" w:cs="仿宋"/>
          <w:sz w:val="32"/>
          <w:szCs w:val="32"/>
          <w:lang w:val="en-US" w:eastAsia="zh-CN"/>
        </w:rPr>
        <w:t>15</w:t>
      </w:r>
      <w:r>
        <w:rPr>
          <w:rFonts w:hint="eastAsia" w:hAnsi="Calibri" w:cs="仿宋"/>
          <w:sz w:val="32"/>
          <w:szCs w:val="32"/>
          <w:lang w:val="zh-CN" w:eastAsia="zh-CN"/>
        </w:rPr>
        <w:t>万人次，确保党的创新理论飞入寻常百姓家</w:t>
      </w:r>
      <w:r>
        <w:rPr>
          <w:rFonts w:hint="eastAsia" w:hAnsi="Calibri" w:cs="仿宋"/>
          <w:sz w:val="32"/>
          <w:szCs w:val="32"/>
          <w:lang w:val="en-US" w:eastAsia="zh-CN"/>
        </w:rPr>
        <w:t>。“理悦巴州”宣讲队在全省第二届基层理论宣讲大赛中获得分区第二名优异成绩；在全市学习宣传贯彻党的二十大精神暨创建全国文明城市知识竞赛中，巴州区获得优秀组织奖。三是调查研究用心用情。</w:t>
      </w:r>
      <w:r>
        <w:rPr>
          <w:rFonts w:hint="default" w:hAnsi="Calibri" w:cs="仿宋"/>
          <w:sz w:val="32"/>
          <w:szCs w:val="32"/>
          <w:lang w:val="en-US" w:eastAsia="zh-CN"/>
        </w:rPr>
        <w:t>立足区情实际，</w:t>
      </w:r>
      <w:r>
        <w:rPr>
          <w:rFonts w:hint="eastAsia" w:hAnsi="Calibri" w:cs="仿宋"/>
          <w:sz w:val="32"/>
          <w:szCs w:val="32"/>
          <w:lang w:val="en-US" w:eastAsia="zh-CN"/>
        </w:rPr>
        <w:t>拟定《常态长效推进全国文明城市创建研究》等调研课题40个，摸清问题情况、找准关键症结、开好治疗处方。主题教育期间，区级领导分别到最边远的村蹲点调研，发现各类问题70余个，现场落实和解决30余个，梳理共性问题 4 类8个，按照小事当场办、大事区上管的原则，切实解决一批群众长期关心关注的实际困难和问题。</w:t>
      </w:r>
    </w:p>
    <w:p w14:paraId="04DA8A99">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default" w:hAnsi="Calibri" w:cs="仿宋"/>
          <w:sz w:val="32"/>
          <w:szCs w:val="32"/>
          <w:lang w:val="en-US" w:eastAsia="zh-CN"/>
        </w:rPr>
      </w:pPr>
      <w:r>
        <w:rPr>
          <w:rFonts w:hint="eastAsia" w:hAnsi="Calibri" w:cs="仿宋"/>
          <w:sz w:val="32"/>
          <w:szCs w:val="32"/>
          <w:lang w:val="en-US" w:eastAsia="zh-CN"/>
        </w:rPr>
        <w:t>（2）巩固壮大主流舆论，凝聚奋进力量。一是重大主题报道浓墨重彩。精心策划专栏专题、精准聚焦重头报道，巩固壮大主流舆论，传播巴州好声音。聚焦党的建设、主题教育、乡村振兴、“双年行动”等重点工作，在微信视频号策划推出《乡村振兴“镇”当时》等系列短视频541余条，在“巴州融媒”抖音号推出</w:t>
      </w:r>
      <w:r>
        <w:rPr>
          <w:rFonts w:hint="default" w:hAnsi="Calibri" w:cs="仿宋"/>
          <w:sz w:val="32"/>
          <w:szCs w:val="32"/>
          <w:lang w:val="en-US" w:eastAsia="zh-CN"/>
        </w:rPr>
        <w:t>1200</w:t>
      </w:r>
      <w:r>
        <w:rPr>
          <w:rFonts w:hint="eastAsia" w:hAnsi="Calibri" w:cs="仿宋"/>
          <w:sz w:val="32"/>
          <w:szCs w:val="32"/>
          <w:lang w:val="en-US" w:eastAsia="zh-CN"/>
        </w:rPr>
        <w:t>余条视频，最高浏览量达210万</w:t>
      </w:r>
      <w:r>
        <w:rPr>
          <w:rFonts w:hint="default" w:hAnsi="Calibri" w:cs="仿宋"/>
          <w:sz w:val="32"/>
          <w:szCs w:val="32"/>
          <w:lang w:val="en-US" w:eastAsia="zh-CN"/>
        </w:rPr>
        <w:t>+</w:t>
      </w:r>
      <w:r>
        <w:rPr>
          <w:rFonts w:hint="eastAsia" w:hAnsi="Calibri" w:cs="仿宋"/>
          <w:sz w:val="32"/>
          <w:szCs w:val="32"/>
          <w:lang w:val="en-US" w:eastAsia="zh-CN"/>
        </w:rPr>
        <w:t>；</w:t>
      </w:r>
      <w:r>
        <w:rPr>
          <w:rFonts w:hint="default" w:hAnsi="Calibri" w:cs="仿宋"/>
          <w:sz w:val="32"/>
          <w:szCs w:val="32"/>
          <w:lang w:val="en-US" w:eastAsia="zh-CN"/>
        </w:rPr>
        <w:t>制作</w:t>
      </w:r>
      <w:r>
        <w:rPr>
          <w:rFonts w:hint="eastAsia" w:hAnsi="Calibri" w:cs="仿宋"/>
          <w:sz w:val="32"/>
          <w:szCs w:val="32"/>
          <w:lang w:val="en-US" w:eastAsia="zh-CN"/>
        </w:rPr>
        <w:t>推广</w:t>
      </w:r>
      <w:r>
        <w:rPr>
          <w:rFonts w:hint="default" w:hAnsi="Calibri" w:cs="仿宋"/>
          <w:sz w:val="32"/>
          <w:szCs w:val="32"/>
          <w:lang w:val="en-US" w:eastAsia="zh-CN"/>
        </w:rPr>
        <w:t>《向风而行》</w:t>
      </w:r>
      <w:r>
        <w:rPr>
          <w:rFonts w:hint="eastAsia" w:hAnsi="Calibri" w:cs="仿宋"/>
          <w:sz w:val="32"/>
          <w:szCs w:val="32"/>
          <w:lang w:val="en-US" w:eastAsia="zh-CN"/>
        </w:rPr>
        <w:t>等专题片90余部，着力提升主流媒体传播力引导力影响力，</w:t>
      </w:r>
      <w:r>
        <w:rPr>
          <w:rFonts w:hint="default" w:hAnsi="Calibri" w:cs="仿宋"/>
          <w:sz w:val="32"/>
          <w:szCs w:val="32"/>
          <w:lang w:val="en-US" w:eastAsia="zh-CN"/>
        </w:rPr>
        <w:t>全面展示新时代奋进巴州工作纪实</w:t>
      </w:r>
      <w:r>
        <w:rPr>
          <w:rFonts w:hint="eastAsia" w:hAnsi="Calibri" w:cs="仿宋"/>
          <w:sz w:val="32"/>
          <w:szCs w:val="32"/>
          <w:lang w:val="en-US" w:eastAsia="zh-CN"/>
        </w:rPr>
        <w:t>。二是对外宣传亮点纷呈。不断加强与省级以上媒体对接联系，既做服务员、又当导航员，勤跑基层一线，深挖好故事素材，有效拓展宣传报道渠道，配合人民日报、四川日报等省级以上主流媒体完成天马山避暑旅游季、巴人文化艺术节等活动采访40余场次。巴州区创推群众诉求“大起底”生动实践、巴州区粮食安全、耕地保护决策部署被人民日报、中央电视台频频聚焦，巴州经验屡屡“上镜”大报大台大网，在市级及以上主流媒体刊发稿件1200余篇（条），人民日报5篇，新华社6篇，中央电视台12条，人民网40篇，四川日报25篇，四川电视台39条，</w:t>
      </w:r>
      <w:r>
        <w:rPr>
          <w:rFonts w:hint="default" w:hAnsi="Calibri" w:cs="仿宋"/>
          <w:sz w:val="32"/>
          <w:szCs w:val="32"/>
          <w:lang w:val="en-US" w:eastAsia="zh-CN"/>
        </w:rPr>
        <w:t>巴中日报专题35篇。</w:t>
      </w:r>
      <w:r>
        <w:rPr>
          <w:rFonts w:hint="eastAsia" w:hAnsi="Calibri" w:cs="仿宋"/>
          <w:sz w:val="32"/>
          <w:szCs w:val="32"/>
          <w:lang w:val="en-US" w:eastAsia="zh-CN"/>
        </w:rPr>
        <w:t>全方位推介展示了巴州好形象，有效扩大了全区对外知名度和美誉度。三是舆情处置坚实有力。采用“人防+技防”方式，全方位全时段对</w:t>
      </w:r>
      <w:r>
        <w:rPr>
          <w:rFonts w:hint="default" w:hAnsi="Calibri" w:cs="仿宋"/>
          <w:sz w:val="32"/>
          <w:szCs w:val="32"/>
          <w:lang w:val="en-US" w:eastAsia="zh-CN"/>
        </w:rPr>
        <w:t>新闻网站</w:t>
      </w:r>
      <w:r>
        <w:rPr>
          <w:rFonts w:hint="eastAsia" w:hAnsi="Calibri" w:cs="仿宋"/>
          <w:sz w:val="32"/>
          <w:szCs w:val="32"/>
          <w:lang w:val="en-US" w:eastAsia="zh-CN"/>
        </w:rPr>
        <w:t>、</w:t>
      </w:r>
      <w:r>
        <w:rPr>
          <w:rFonts w:hint="default" w:hAnsi="Calibri" w:cs="仿宋"/>
          <w:sz w:val="32"/>
          <w:szCs w:val="32"/>
          <w:lang w:val="en-US" w:eastAsia="zh-CN"/>
        </w:rPr>
        <w:t>本地热点论坛</w:t>
      </w:r>
      <w:r>
        <w:rPr>
          <w:rFonts w:hint="eastAsia" w:hAnsi="Calibri" w:cs="仿宋"/>
          <w:sz w:val="32"/>
          <w:szCs w:val="32"/>
          <w:lang w:val="en-US" w:eastAsia="zh-CN"/>
        </w:rPr>
        <w:t>进行</w:t>
      </w:r>
      <w:r>
        <w:rPr>
          <w:rFonts w:hint="default" w:hAnsi="Calibri" w:cs="仿宋"/>
          <w:sz w:val="32"/>
          <w:szCs w:val="32"/>
          <w:lang w:val="en-US" w:eastAsia="zh-CN"/>
        </w:rPr>
        <w:t>监测</w:t>
      </w:r>
      <w:r>
        <w:rPr>
          <w:rFonts w:hint="eastAsia" w:hAnsi="Calibri" w:cs="仿宋"/>
          <w:sz w:val="32"/>
          <w:szCs w:val="32"/>
          <w:lang w:val="en-US" w:eastAsia="zh-CN"/>
        </w:rPr>
        <w:t>，</w:t>
      </w:r>
      <w:r>
        <w:rPr>
          <w:rFonts w:hint="default" w:hAnsi="Calibri" w:cs="仿宋"/>
          <w:sz w:val="32"/>
          <w:szCs w:val="32"/>
          <w:lang w:val="zh-CN" w:eastAsia="zh-CN"/>
        </w:rPr>
        <w:t>目前共监测涉巴州负面舆情</w:t>
      </w:r>
      <w:r>
        <w:rPr>
          <w:rFonts w:hint="eastAsia" w:hAnsi="Calibri" w:cs="仿宋"/>
          <w:sz w:val="32"/>
          <w:szCs w:val="32"/>
          <w:lang w:val="en-US" w:eastAsia="zh-CN"/>
        </w:rPr>
        <w:t>643</w:t>
      </w:r>
      <w:r>
        <w:rPr>
          <w:rFonts w:hint="default" w:hAnsi="Calibri" w:cs="仿宋"/>
          <w:sz w:val="32"/>
          <w:szCs w:val="32"/>
          <w:lang w:val="zh-CN" w:eastAsia="zh-CN"/>
        </w:rPr>
        <w:t>条，发出有效指令</w:t>
      </w:r>
      <w:r>
        <w:rPr>
          <w:rFonts w:hint="eastAsia" w:hAnsi="Calibri" w:cs="仿宋"/>
          <w:sz w:val="32"/>
          <w:szCs w:val="32"/>
          <w:lang w:val="en-US" w:eastAsia="zh-CN"/>
        </w:rPr>
        <w:t>620余</w:t>
      </w:r>
      <w:r>
        <w:rPr>
          <w:rFonts w:hint="default" w:hAnsi="Calibri" w:cs="仿宋"/>
          <w:sz w:val="32"/>
          <w:szCs w:val="32"/>
          <w:lang w:val="zh-CN" w:eastAsia="zh-CN"/>
        </w:rPr>
        <w:t>条</w:t>
      </w:r>
      <w:r>
        <w:rPr>
          <w:rFonts w:hint="eastAsia" w:hAnsi="Calibri" w:cs="仿宋"/>
          <w:sz w:val="32"/>
          <w:szCs w:val="32"/>
          <w:lang w:val="zh-CN" w:eastAsia="zh-CN"/>
        </w:rPr>
        <w:t>，</w:t>
      </w:r>
      <w:r>
        <w:rPr>
          <w:rFonts w:hint="eastAsia" w:hAnsi="Calibri" w:cs="仿宋"/>
          <w:sz w:val="32"/>
          <w:szCs w:val="32"/>
          <w:lang w:val="en-US" w:eastAsia="zh-CN"/>
        </w:rPr>
        <w:t>督办函10份</w:t>
      </w:r>
      <w:r>
        <w:rPr>
          <w:rFonts w:hint="eastAsia" w:hAnsi="Calibri" w:cs="仿宋"/>
          <w:sz w:val="32"/>
          <w:szCs w:val="32"/>
          <w:lang w:val="zh-CN" w:eastAsia="zh-CN"/>
        </w:rPr>
        <w:t>，</w:t>
      </w:r>
      <w:r>
        <w:rPr>
          <w:rFonts w:hint="eastAsia" w:hAnsi="Calibri" w:cs="仿宋"/>
          <w:sz w:val="32"/>
          <w:szCs w:val="32"/>
          <w:lang w:val="en-US" w:eastAsia="zh-CN"/>
        </w:rPr>
        <w:t>线上有效回复530余次，妥善线下处置化解90余件次；</w:t>
      </w:r>
      <w:r>
        <w:rPr>
          <w:rFonts w:hint="default" w:hAnsi="Calibri" w:cs="仿宋"/>
          <w:sz w:val="32"/>
          <w:szCs w:val="32"/>
          <w:lang w:val="en-US" w:eastAsia="zh-CN"/>
        </w:rPr>
        <w:t>督促指导相关单位处置回复</w:t>
      </w:r>
      <w:r>
        <w:rPr>
          <w:rFonts w:hint="eastAsia" w:hAnsi="Calibri" w:cs="仿宋"/>
          <w:sz w:val="32"/>
          <w:szCs w:val="32"/>
          <w:lang w:val="en-US" w:eastAsia="zh-CN"/>
        </w:rPr>
        <w:t>“</w:t>
      </w:r>
      <w:r>
        <w:rPr>
          <w:rFonts w:hint="default" w:hAnsi="Calibri" w:cs="仿宋"/>
          <w:sz w:val="32"/>
          <w:szCs w:val="32"/>
          <w:lang w:val="en-US" w:eastAsia="zh-CN"/>
        </w:rPr>
        <w:t>问政四川</w:t>
      </w:r>
      <w:r>
        <w:rPr>
          <w:rFonts w:hint="eastAsia" w:hAnsi="Calibri" w:cs="仿宋"/>
          <w:sz w:val="32"/>
          <w:szCs w:val="32"/>
          <w:lang w:val="en-US" w:eastAsia="zh-CN"/>
        </w:rPr>
        <w:t>”</w:t>
      </w:r>
      <w:r>
        <w:rPr>
          <w:rFonts w:hint="default" w:hAnsi="Calibri" w:cs="仿宋"/>
          <w:sz w:val="32"/>
          <w:szCs w:val="32"/>
          <w:lang w:val="en-US" w:eastAsia="zh-CN"/>
        </w:rPr>
        <w:t>等网络问政平台留言，</w:t>
      </w:r>
      <w:r>
        <w:rPr>
          <w:rFonts w:hint="eastAsia" w:hAnsi="Calibri" w:cs="仿宋"/>
          <w:sz w:val="32"/>
          <w:szCs w:val="32"/>
          <w:lang w:val="en-US" w:eastAsia="zh-CN"/>
        </w:rPr>
        <w:t>坚持</w:t>
      </w:r>
      <w:r>
        <w:rPr>
          <w:rFonts w:hint="default" w:hAnsi="Calibri" w:cs="仿宋"/>
          <w:sz w:val="32"/>
          <w:szCs w:val="32"/>
          <w:lang w:val="en-US" w:eastAsia="zh-CN"/>
        </w:rPr>
        <w:t>每月清零</w:t>
      </w:r>
      <w:r>
        <w:rPr>
          <w:rFonts w:hint="eastAsia" w:hAnsi="Calibri" w:cs="仿宋"/>
          <w:sz w:val="32"/>
          <w:szCs w:val="32"/>
          <w:lang w:val="en-US" w:eastAsia="zh-CN"/>
        </w:rPr>
        <w:t>。严格落实“三同步”机制，深化部门联动，妥善化解处置“江湾城一男子遛狗不拴绳殴打抱小孩老人”“置信物业纠纷”等网络热点事件。做优网络舆论引导宣传。举办2023年新闻舆论培训班，提升队伍业务能力；聚焦重大活动、敏感时节、突发社会事件等适时开展舆论引导，全年完成市委网信办下达的投诉举报指令40余条、网评指令200余次，累计上传任务截图9000余张，监测处置全网有害信息2000余条，有力净化网络空间和维护社会稳定。</w:t>
      </w:r>
    </w:p>
    <w:p w14:paraId="1D713D50">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default" w:hAnsi="Calibri" w:cs="仿宋"/>
          <w:sz w:val="32"/>
          <w:szCs w:val="32"/>
          <w:lang w:val="en-US" w:eastAsia="zh-CN"/>
        </w:rPr>
      </w:pPr>
      <w:r>
        <w:rPr>
          <w:rFonts w:hint="eastAsia" w:hAnsi="Calibri" w:cs="仿宋"/>
          <w:sz w:val="32"/>
          <w:szCs w:val="32"/>
          <w:lang w:val="en-US" w:eastAsia="zh-CN"/>
        </w:rPr>
        <w:t>（3）繁荣发展文化文艺，助推文旅融合。一是深入实施文艺精品创作。</w:t>
      </w:r>
      <w:r>
        <w:rPr>
          <w:rFonts w:hint="eastAsia" w:hAnsi="Calibri" w:cs="仿宋"/>
          <w:sz w:val="32"/>
          <w:szCs w:val="32"/>
          <w:lang w:val="zh-CN" w:eastAsia="zh-CN"/>
        </w:rPr>
        <w:t>曲艺音乐剧《周永开》参加全省纪检监察系统交流会期间演出，四川扬琴《乡村振兴春满园》参加第五届中国西部优秀曲艺节目展演，深受专家评委和观众的一致好评。少儿川剧《新官上任》荣获第二十七届“中国少儿戏曲小梅花荟萃”活动“小梅花”奖。成功举办四川省第十九届小品（小戏）比赛、第二届川渝曲艺展演大会、电影《平教之路》首映仪式，《南龛坡的传说》入选全省第十九届戏剧小品（小戏）比赛一等奖</w:t>
      </w:r>
      <w:r>
        <w:rPr>
          <w:rFonts w:hint="eastAsia" w:hAnsi="Calibri" w:cs="仿宋"/>
          <w:sz w:val="32"/>
          <w:szCs w:val="32"/>
          <w:lang w:val="en-US" w:eastAsia="zh-CN"/>
        </w:rPr>
        <w:t>,</w:t>
      </w:r>
      <w:r>
        <w:rPr>
          <w:rFonts w:hint="eastAsia" w:hAnsi="Calibri" w:cs="仿宋"/>
          <w:sz w:val="32"/>
          <w:szCs w:val="32"/>
          <w:lang w:val="zh-CN" w:eastAsia="zh-CN"/>
        </w:rPr>
        <w:t>创作四川清音《种子》、四川扬琴《乡村振兴春满园》等文艺作品6件，大型现代川剧《晏阳初》专家座谈会在成都顺利举行。</w:t>
      </w:r>
      <w:r>
        <w:rPr>
          <w:rFonts w:hint="eastAsia" w:hAnsi="Calibri" w:cs="仿宋"/>
          <w:sz w:val="32"/>
          <w:szCs w:val="32"/>
          <w:lang w:val="en-US" w:eastAsia="zh-CN"/>
        </w:rPr>
        <w:t>二是积极开展群众文化活动。策划举办巴州区2023年文化科技卫生“三下乡”集中示范、“我们的中国梦”—文化进万家系列活动暨首届新春购物博览会，2023 年巴中市全民阅读大会暨版权宣传周、文化科技卫生“三下乡”集中示范、社科普及活动月，“我们的节日•元宵”文艺演出等系列群众性文化活动。组织文艺小分队开展“送文化下乡”惠民演出60余场次，戏曲进校园、进乡村30场次，“周末剧场”川剧惠民演出7场次，惠及群众3万余人。开展“支部共建暨文化惠民进基层”联谊活动，实现一月一村放映一场公益电影，进一步丰富和活跃基层群众文化生活。积极参加省、市第三届乡村文化振兴魅力竞演大赛，曾口皮影等在大赛官方公众号“四川乡当潮”展播推广，视频热度全市第一，水宁寺镇获评“全省100个魅力乡镇”，2人分别获评全省“100名乡土文化能人”“100名乡村代言人”，水宁寺镇、宕梁街道分别获评省、市“魅力乡镇”。积极实施乡村文化振兴“百千万”工程，天马山镇入选省级样板镇。三是坚持文旅融合发展。</w:t>
      </w:r>
      <w:r>
        <w:rPr>
          <w:rFonts w:hint="eastAsia" w:hAnsi="Calibri" w:cs="仿宋"/>
          <w:sz w:val="32"/>
          <w:szCs w:val="32"/>
          <w:lang w:val="zh-CN" w:eastAsia="zh-CN"/>
        </w:rPr>
        <w:t>聚焦“文旅提振攻坚”行动，坚持以创建“天府旅游名镇”为目标，聚力拓内需、促消费，不断活跃市场主体。策划举办“天马山避暑季”“山水化湖桃花节”“苏山坪火锅节”等系列节事活动20余场次。打造云上青山曲艺小镇，曲艺民宿风格独具特色，曲艺乐园西部第一；丰富天马山森林康养旅游度假区、鸣池康养欢乐世界等景区业态，景区旅游服务水平不断提升、旅游服务环境持续优化。天马山镇成功创建四川省第三批天府旅游名镇，天马山森林康养旅游度假区荣获新一批省级旅游度假区，平梁镇青包山村入选第四批省级乡村旅游重点村。</w:t>
      </w:r>
    </w:p>
    <w:p w14:paraId="58F189B9">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en-US" w:eastAsia="zh-CN"/>
        </w:rPr>
      </w:pPr>
      <w:r>
        <w:rPr>
          <w:rFonts w:hint="eastAsia" w:hAnsi="Calibri" w:cs="仿宋"/>
          <w:sz w:val="32"/>
          <w:szCs w:val="32"/>
          <w:lang w:val="en-US" w:eastAsia="zh-CN"/>
        </w:rPr>
        <w:t>（4）深化精神文明创建，培塑文明新风。一是文明创建工作持续升温。始终聚焦创建全国文明城市“头号工程”，决战决胜创文攻坚，按照点位达标更细致、基础设施更完善、城市管理更规范、网报材料更标准、人民群众更认可的要求，深化治标与治本、常态和长效相结合，着力农贸市场规范、老旧小区改造、市民素质提升，切实解决城市堵点、市民痛点、管理难点，确保考核位列全省前列。以迎检点位占全市90%，群众知晓率、软件资料均承担全市80%以上的任务，顺利接受2023年度中央文明办春季暗访测评。区委宣传部被区委、区政府评选为2022年度创建全国文明城市先进集体。二是文明实践活动扎实有力。</w:t>
      </w:r>
      <w:r>
        <w:rPr>
          <w:rFonts w:hint="default" w:hAnsi="Calibri" w:cs="仿宋"/>
          <w:sz w:val="32"/>
          <w:szCs w:val="32"/>
          <w:lang w:val="en-US" w:eastAsia="zh-CN"/>
        </w:rPr>
        <w:t>聚焦立德树人根本任务，深入开展社会主义核心价值观“进教材、进课堂、进头脑”教育活动，邀请区级领导、党校老师进学校上思政课20余堂</w:t>
      </w:r>
      <w:r>
        <w:rPr>
          <w:rFonts w:hint="eastAsia" w:hAnsi="Calibri" w:cs="仿宋"/>
          <w:sz w:val="32"/>
          <w:szCs w:val="32"/>
          <w:lang w:val="en-US" w:eastAsia="zh-CN"/>
        </w:rPr>
        <w:t>。在全区22个乡镇（街道）挂牌成立“青少年服务站”，对接“希望工程1+1——幻方助学计划”，资助困难青少年84名。</w:t>
      </w:r>
      <w:r>
        <w:rPr>
          <w:rFonts w:hint="default" w:hAnsi="Calibri" w:cs="仿宋"/>
          <w:sz w:val="32"/>
          <w:szCs w:val="32"/>
          <w:lang w:val="en-US" w:eastAsia="zh-CN"/>
        </w:rPr>
        <w:t>积极</w:t>
      </w:r>
      <w:r>
        <w:rPr>
          <w:rFonts w:hint="eastAsia" w:hAnsi="Calibri" w:cs="仿宋"/>
          <w:sz w:val="32"/>
          <w:szCs w:val="32"/>
          <w:lang w:val="en-US" w:eastAsia="zh-CN"/>
        </w:rPr>
        <w:t>推动</w:t>
      </w:r>
      <w:r>
        <w:rPr>
          <w:rFonts w:hint="default" w:hAnsi="Calibri" w:cs="仿宋"/>
          <w:sz w:val="32"/>
          <w:szCs w:val="32"/>
          <w:lang w:val="en-US" w:eastAsia="zh-CN"/>
        </w:rPr>
        <w:t>1所全国文明校园、</w:t>
      </w:r>
      <w:r>
        <w:rPr>
          <w:rFonts w:hint="eastAsia" w:hAnsi="Calibri" w:cs="仿宋"/>
          <w:sz w:val="32"/>
          <w:szCs w:val="32"/>
          <w:lang w:val="en-US" w:eastAsia="zh-CN"/>
        </w:rPr>
        <w:t>5所省级文明校园、28所市级文明校园顺利通过复查验收。顺利启动</w:t>
      </w:r>
      <w:r>
        <w:rPr>
          <w:rFonts w:hint="default" w:hAnsi="Calibri" w:cs="仿宋"/>
          <w:sz w:val="32"/>
          <w:szCs w:val="32"/>
          <w:lang w:val="en-US" w:eastAsia="zh-CN"/>
        </w:rPr>
        <w:t>2023年度“一木环保启动仪式暨书香研学活动</w:t>
      </w:r>
      <w:r>
        <w:rPr>
          <w:rFonts w:hint="eastAsia" w:hAnsi="Calibri" w:cs="仿宋"/>
          <w:sz w:val="32"/>
          <w:szCs w:val="32"/>
          <w:lang w:val="en-US" w:eastAsia="zh-CN"/>
        </w:rPr>
        <w:t>，评选表彰“一木环保”公益行动“先进集体”</w:t>
      </w:r>
      <w:r>
        <w:rPr>
          <w:rFonts w:hint="default" w:hAnsi="Calibri" w:cs="仿宋"/>
          <w:sz w:val="32"/>
          <w:szCs w:val="32"/>
          <w:lang w:val="en-US" w:eastAsia="zh-CN"/>
        </w:rPr>
        <w:t>15 个</w:t>
      </w:r>
      <w:r>
        <w:rPr>
          <w:rFonts w:hint="eastAsia" w:hAnsi="Calibri" w:cs="仿宋"/>
          <w:sz w:val="32"/>
          <w:szCs w:val="32"/>
          <w:lang w:val="en-US" w:eastAsia="zh-CN"/>
        </w:rPr>
        <w:t>，“先进个人”55人，“环保小卫士”84名，组织200余名中小学生到成都开展书香研学活动。三是文明新风培树成效明显。紧扣全国文明城市创建，扎实推进“文明细胞”创建工作，</w:t>
      </w:r>
      <w:r>
        <w:rPr>
          <w:rFonts w:hint="default" w:hAnsi="Calibri" w:cs="仿宋"/>
          <w:sz w:val="32"/>
          <w:szCs w:val="32"/>
          <w:lang w:val="en-US" w:eastAsia="zh-CN"/>
        </w:rPr>
        <w:t>推选</w:t>
      </w:r>
      <w:r>
        <w:rPr>
          <w:rFonts w:hint="eastAsia" w:hAnsi="Calibri" w:cs="仿宋"/>
          <w:sz w:val="32"/>
          <w:szCs w:val="32"/>
          <w:lang w:val="en-US" w:eastAsia="zh-CN"/>
        </w:rPr>
        <w:t>文明单位24个、文明村镇50个、文明家庭18个，其中梁永镇宏福村成功入选第六届四川省文明村镇，中国邮政巴州区支行、区人民法院获评四川省（最佳）文明单位；深化先进典型培育，先后推选身边好人36个、道德模范12个，成功培育“巴中好人”6名、新时代好少年2名，其中李明成功入选2023年第一季度诚实守信类“四川好人”；</w:t>
      </w:r>
      <w:r>
        <w:rPr>
          <w:rFonts w:hint="default" w:hAnsi="Calibri" w:cs="仿宋"/>
          <w:sz w:val="32"/>
          <w:szCs w:val="32"/>
          <w:lang w:val="en-US" w:eastAsia="zh-CN"/>
        </w:rPr>
        <w:t>联合区妇联</w:t>
      </w:r>
      <w:r>
        <w:rPr>
          <w:rFonts w:hint="eastAsia" w:hAnsi="Calibri" w:cs="仿宋"/>
          <w:sz w:val="32"/>
          <w:szCs w:val="32"/>
          <w:lang w:val="en-US" w:eastAsia="zh-CN"/>
        </w:rPr>
        <w:t>评选</w:t>
      </w:r>
      <w:r>
        <w:rPr>
          <w:rFonts w:hint="default" w:hAnsi="Calibri" w:cs="仿宋"/>
          <w:sz w:val="32"/>
          <w:szCs w:val="32"/>
          <w:lang w:val="en-US" w:eastAsia="zh-CN"/>
        </w:rPr>
        <w:t>2022年度“最美家庭”</w:t>
      </w:r>
      <w:r>
        <w:rPr>
          <w:rFonts w:hint="eastAsia" w:hAnsi="Calibri" w:cs="仿宋"/>
          <w:sz w:val="32"/>
          <w:szCs w:val="32"/>
          <w:lang w:val="en-US" w:eastAsia="zh-CN"/>
        </w:rPr>
        <w:t>10户。</w:t>
      </w:r>
    </w:p>
    <w:p w14:paraId="12505C08">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Ansi="Calibri" w:cs="仿宋"/>
          <w:sz w:val="32"/>
          <w:szCs w:val="32"/>
        </w:rPr>
      </w:pPr>
      <w:r>
        <w:rPr>
          <w:rFonts w:hint="eastAsia" w:hAnsi="Calibri" w:cs="仿宋"/>
          <w:sz w:val="32"/>
          <w:szCs w:val="32"/>
        </w:rPr>
        <w:t>四、评价结论及建议</w:t>
      </w:r>
    </w:p>
    <w:p w14:paraId="3C179013">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（一）评价结论</w:t>
      </w:r>
    </w:p>
    <w:p w14:paraId="0387D368">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202</w:t>
      </w:r>
      <w:r>
        <w:rPr>
          <w:rFonts w:hint="eastAsia" w:hAnsi="Calibri" w:cs="仿宋"/>
          <w:sz w:val="32"/>
          <w:szCs w:val="32"/>
          <w:lang w:val="en-US" w:eastAsia="zh-CN"/>
        </w:rPr>
        <w:t>3</w:t>
      </w:r>
      <w:r>
        <w:rPr>
          <w:rFonts w:hint="eastAsia" w:hAnsi="Calibri" w:cs="仿宋"/>
          <w:sz w:val="32"/>
          <w:szCs w:val="32"/>
          <w:lang w:val="zh-CN" w:eastAsia="zh-CN"/>
        </w:rPr>
        <w:t>年度，</w:t>
      </w:r>
      <w:r>
        <w:rPr>
          <w:rFonts w:hint="eastAsia" w:hAnsi="Calibri" w:cs="仿宋"/>
          <w:sz w:val="32"/>
          <w:szCs w:val="32"/>
          <w:lang w:val="en-US" w:eastAsia="zh-CN"/>
        </w:rPr>
        <w:t>区委宣传部</w:t>
      </w:r>
      <w:r>
        <w:rPr>
          <w:rFonts w:hint="eastAsia" w:hAnsi="Calibri" w:cs="仿宋"/>
          <w:sz w:val="32"/>
          <w:szCs w:val="32"/>
          <w:lang w:val="zh-CN" w:eastAsia="zh-CN"/>
        </w:rPr>
        <w:t>全年资金预算执行到位，资金支付合理合规，年终决算办理及时，全面保障了</w:t>
      </w:r>
      <w:r>
        <w:rPr>
          <w:rFonts w:hint="eastAsia" w:hAnsi="Calibri" w:cs="仿宋"/>
          <w:sz w:val="32"/>
          <w:szCs w:val="32"/>
          <w:lang w:val="en-US" w:eastAsia="zh-CN"/>
        </w:rPr>
        <w:t>本单位</w:t>
      </w:r>
      <w:r>
        <w:rPr>
          <w:rFonts w:hint="eastAsia" w:hAnsi="Calibri" w:cs="仿宋"/>
          <w:sz w:val="32"/>
          <w:szCs w:val="32"/>
          <w:lang w:val="zh-CN" w:eastAsia="zh-CN"/>
        </w:rPr>
        <w:t>日常工作经费支出，同时，通过加强预算收支管理，优化完善内部管理制度，部门整体支出管理情况得到提升，“三公”经费总体控制良好，与上年度比较均有下降。</w:t>
      </w:r>
    </w:p>
    <w:p w14:paraId="0337A8FB">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rPr>
      </w:pPr>
      <w:r>
        <w:rPr>
          <w:rFonts w:hint="eastAsia" w:hAnsi="Calibri" w:cs="仿宋"/>
          <w:sz w:val="32"/>
          <w:szCs w:val="32"/>
          <w:lang w:val="zh-CN" w:eastAsia="zh-CN"/>
        </w:rPr>
        <w:t>（</w:t>
      </w:r>
      <w:r>
        <w:rPr>
          <w:rFonts w:hint="eastAsia" w:hAnsi="Calibri" w:cs="仿宋"/>
          <w:sz w:val="32"/>
          <w:szCs w:val="32"/>
          <w:lang w:val="en-US" w:eastAsia="zh-CN"/>
        </w:rPr>
        <w:t>二</w:t>
      </w:r>
      <w:r>
        <w:rPr>
          <w:rFonts w:hint="eastAsia" w:hAnsi="Calibri" w:cs="仿宋"/>
          <w:sz w:val="32"/>
          <w:szCs w:val="32"/>
          <w:lang w:val="zh-CN" w:eastAsia="zh-CN"/>
        </w:rPr>
        <w:t>）</w:t>
      </w:r>
      <w:r>
        <w:rPr>
          <w:rFonts w:hint="eastAsia" w:hAnsi="Calibri" w:cs="仿宋"/>
          <w:sz w:val="32"/>
          <w:szCs w:val="32"/>
          <w:lang w:val="zh-CN"/>
        </w:rPr>
        <w:t>存在问题</w:t>
      </w:r>
    </w:p>
    <w:p w14:paraId="64C2FE88">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default" w:hAnsi="Calibri" w:cs="仿宋"/>
          <w:sz w:val="32"/>
          <w:szCs w:val="32"/>
          <w:lang w:val="en-US" w:eastAsia="zh-CN"/>
        </w:rPr>
      </w:pPr>
      <w:r>
        <w:rPr>
          <w:rFonts w:hint="eastAsia" w:hAnsi="Calibri" w:cs="仿宋"/>
          <w:sz w:val="32"/>
          <w:szCs w:val="32"/>
          <w:lang w:val="en-US" w:eastAsia="zh-CN"/>
        </w:rPr>
        <w:t>预算编制不够明确和细化，预算编制的合理性需要提高，预算执行力度还要进一步加强。资金使用效益有待进一步提高，绩效目标设立不够明确、细化和量化。</w:t>
      </w:r>
    </w:p>
    <w:p w14:paraId="717CD207">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zh-CN" w:eastAsia="zh-CN"/>
        </w:rPr>
      </w:pPr>
      <w:r>
        <w:rPr>
          <w:rFonts w:hint="eastAsia" w:hAnsi="Calibri" w:cs="仿宋"/>
          <w:sz w:val="32"/>
          <w:szCs w:val="32"/>
          <w:lang w:val="zh-CN" w:eastAsia="zh-CN"/>
        </w:rPr>
        <w:t>（三）改进建议</w:t>
      </w:r>
    </w:p>
    <w:p w14:paraId="09DDF485">
      <w:pPr>
        <w:pStyle w:val="5"/>
        <w:keepNext w:val="0"/>
        <w:keepLines w:val="0"/>
        <w:pageBreakBefore w:val="0"/>
        <w:widowControl w:val="0"/>
        <w:kinsoku/>
        <w:wordWrap/>
        <w:overflowPunct/>
        <w:topLinePunct w:val="0"/>
        <w:autoSpaceDE/>
        <w:autoSpaceDN/>
        <w:bidi w:val="0"/>
        <w:adjustRightInd/>
        <w:snapToGrid/>
        <w:spacing w:before="93" w:line="560" w:lineRule="exact"/>
        <w:ind w:firstLine="640" w:firstLineChars="200"/>
        <w:textAlignment w:val="auto"/>
        <w:rPr>
          <w:rFonts w:hint="eastAsia" w:hAnsi="Calibri" w:cs="仿宋"/>
          <w:sz w:val="32"/>
          <w:szCs w:val="32"/>
          <w:lang w:val="en-US" w:eastAsia="zh-CN"/>
        </w:rPr>
      </w:pPr>
      <w:r>
        <w:rPr>
          <w:rFonts w:hint="eastAsia" w:hAnsi="Calibri" w:cs="仿宋"/>
          <w:sz w:val="32"/>
          <w:szCs w:val="32"/>
          <w:lang w:val="en-US" w:eastAsia="zh-CN"/>
        </w:rPr>
        <w:t>下一步，将细化预算编制工作，认真做好预算的编制。进一步加强单位内部各股室的预算管理意识，严格按照预算编制的相关制度和要求进行预算编制，进一步提高预算编制的科学性、严谨性和可控性。</w:t>
      </w:r>
    </w:p>
    <w:p w14:paraId="55CE9A90">
      <w:pPr>
        <w:rPr>
          <w:rFonts w:hint="eastAsia" w:hAnsi="Calibri" w:cs="仿宋"/>
          <w:sz w:val="32"/>
          <w:szCs w:val="32"/>
          <w:lang w:val="en-US" w:eastAsia="zh-CN"/>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tbl>
      <w:tblPr>
        <w:tblStyle w:val="16"/>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51"/>
        <w:gridCol w:w="1775"/>
        <w:gridCol w:w="2263"/>
        <w:gridCol w:w="521"/>
        <w:gridCol w:w="1677"/>
        <w:gridCol w:w="521"/>
        <w:gridCol w:w="1091"/>
        <w:gridCol w:w="505"/>
        <w:gridCol w:w="456"/>
        <w:gridCol w:w="2556"/>
      </w:tblGrid>
      <w:tr w14:paraId="2CD6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39C46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BBF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86A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AF99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51190222T000004831498-舆情监控指导费用</w:t>
            </w:r>
          </w:p>
        </w:tc>
      </w:tr>
      <w:tr w14:paraId="497D0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4E1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F777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宣传部</w:t>
            </w:r>
          </w:p>
        </w:tc>
        <w:tc>
          <w:tcPr>
            <w:tcW w:w="1091" w:type="dxa"/>
            <w:tcBorders>
              <w:top w:val="nil"/>
              <w:left w:val="nil"/>
              <w:bottom w:val="nil"/>
              <w:right w:val="nil"/>
            </w:tcBorders>
            <w:shd w:val="clear" w:color="auto" w:fill="auto"/>
            <w:vAlign w:val="center"/>
          </w:tcPr>
          <w:p w14:paraId="250ED270">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8E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中国共产党巴中市巴州区委员会宣传部</w:t>
            </w:r>
          </w:p>
        </w:tc>
      </w:tr>
      <w:tr w14:paraId="2475F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E0E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C84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0F7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06EC0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3838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3399E">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1BEE7">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F933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牢牢把握舆论引导权和管理权</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2A5AA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2212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234E8">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A5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9D1CC43">
            <w:pPr>
              <w:rPr>
                <w:rFonts w:hint="eastAsia" w:ascii="宋体" w:hAnsi="宋体" w:eastAsia="宋体" w:cs="宋体"/>
                <w:i w:val="0"/>
                <w:iCs w:val="0"/>
                <w:color w:val="000000"/>
                <w:sz w:val="18"/>
                <w:szCs w:val="18"/>
                <w:u w:val="none"/>
              </w:rPr>
            </w:pPr>
          </w:p>
        </w:tc>
      </w:tr>
      <w:tr w14:paraId="5EED7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B4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4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E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50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699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95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B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1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D3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3FEC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D52D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C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3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0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F4F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26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0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CC11">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4ADB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879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0C2B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2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7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3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08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8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9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A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1519A">
            <w:pPr>
              <w:rPr>
                <w:rFonts w:hint="eastAsia" w:ascii="黑体" w:hAnsi="黑体" w:eastAsia="黑体" w:cs="黑体"/>
                <w:i/>
                <w:iCs/>
                <w:color w:val="000000"/>
                <w:sz w:val="18"/>
                <w:szCs w:val="18"/>
                <w:u w:val="none"/>
              </w:rPr>
            </w:pPr>
          </w:p>
        </w:tc>
      </w:tr>
      <w:tr w14:paraId="2951F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4B4A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1B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C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8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FE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4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7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3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C5B82">
            <w:pPr>
              <w:rPr>
                <w:rFonts w:hint="eastAsia" w:ascii="黑体" w:hAnsi="黑体" w:eastAsia="黑体" w:cs="黑体"/>
                <w:i/>
                <w:iCs/>
                <w:color w:val="000000"/>
                <w:sz w:val="18"/>
                <w:szCs w:val="18"/>
                <w:u w:val="none"/>
              </w:rPr>
            </w:pPr>
          </w:p>
        </w:tc>
      </w:tr>
      <w:tr w14:paraId="324A9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6D07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6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3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8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1E3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B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A2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3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9C3A0">
            <w:pPr>
              <w:rPr>
                <w:rFonts w:hint="eastAsia" w:ascii="黑体" w:hAnsi="黑体" w:eastAsia="黑体" w:cs="黑体"/>
                <w:i/>
                <w:iCs/>
                <w:color w:val="000000"/>
                <w:sz w:val="18"/>
                <w:szCs w:val="18"/>
                <w:u w:val="none"/>
              </w:rPr>
            </w:pPr>
          </w:p>
        </w:tc>
      </w:tr>
      <w:tr w14:paraId="36452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FF02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1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5E49">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B103">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9A5D6C">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E21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4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39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94634">
            <w:pPr>
              <w:rPr>
                <w:rFonts w:hint="eastAsia" w:ascii="黑体" w:hAnsi="黑体" w:eastAsia="黑体" w:cs="黑体"/>
                <w:i/>
                <w:iCs/>
                <w:color w:val="000000"/>
                <w:sz w:val="18"/>
                <w:szCs w:val="18"/>
                <w:u w:val="none"/>
              </w:rPr>
            </w:pPr>
          </w:p>
        </w:tc>
      </w:tr>
      <w:tr w14:paraId="45D78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00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F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F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2C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B9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8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EA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3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9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1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9D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58E0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2E276">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A6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0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E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工作开展数量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4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8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A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6D0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1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946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7959">
            <w:pPr>
              <w:jc w:val="center"/>
              <w:rPr>
                <w:rFonts w:hint="eastAsia" w:ascii="微软雅黑" w:hAnsi="微软雅黑" w:eastAsia="微软雅黑" w:cs="微软雅黑"/>
                <w:i/>
                <w:iCs/>
                <w:color w:val="000000"/>
                <w:sz w:val="16"/>
                <w:szCs w:val="16"/>
                <w:u w:val="none"/>
              </w:rPr>
            </w:pPr>
          </w:p>
        </w:tc>
      </w:tr>
      <w:tr w14:paraId="14278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5106E">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C829F">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3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3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5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1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9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E85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4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43E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E8F5">
            <w:pPr>
              <w:jc w:val="center"/>
              <w:rPr>
                <w:rFonts w:hint="eastAsia" w:ascii="微软雅黑" w:hAnsi="微软雅黑" w:eastAsia="微软雅黑" w:cs="微软雅黑"/>
                <w:i/>
                <w:iCs/>
                <w:color w:val="000000"/>
                <w:sz w:val="16"/>
                <w:szCs w:val="16"/>
                <w:u w:val="none"/>
              </w:rPr>
            </w:pPr>
          </w:p>
        </w:tc>
      </w:tr>
      <w:tr w14:paraId="700F7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F0974">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A9C85">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2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5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D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5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6B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607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0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349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1CC7">
            <w:pPr>
              <w:jc w:val="center"/>
              <w:rPr>
                <w:rFonts w:hint="eastAsia" w:ascii="微软雅黑" w:hAnsi="微软雅黑" w:eastAsia="微软雅黑" w:cs="微软雅黑"/>
                <w:i/>
                <w:iCs/>
                <w:color w:val="000000"/>
                <w:sz w:val="16"/>
                <w:szCs w:val="16"/>
                <w:u w:val="none"/>
              </w:rPr>
            </w:pPr>
          </w:p>
        </w:tc>
      </w:tr>
      <w:tr w14:paraId="0DA11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BB7F5">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FD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E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78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经济效益成果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B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4B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B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7DA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A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FCAD">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800E">
            <w:pPr>
              <w:jc w:val="center"/>
              <w:rPr>
                <w:rFonts w:hint="eastAsia" w:ascii="微软雅黑" w:hAnsi="微软雅黑" w:eastAsia="微软雅黑" w:cs="微软雅黑"/>
                <w:i/>
                <w:iCs/>
                <w:color w:val="000000"/>
                <w:sz w:val="16"/>
                <w:szCs w:val="16"/>
                <w:u w:val="none"/>
              </w:rPr>
            </w:pPr>
          </w:p>
        </w:tc>
      </w:tr>
      <w:tr w14:paraId="4DCC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0CD5E">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36C9E">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0A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F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及时有效的处置突发事件和热点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C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E0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E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FA3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8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3D4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4F5E">
            <w:pPr>
              <w:jc w:val="center"/>
              <w:rPr>
                <w:rFonts w:hint="eastAsia" w:ascii="微软雅黑" w:hAnsi="微软雅黑" w:eastAsia="微软雅黑" w:cs="微软雅黑"/>
                <w:i/>
                <w:iCs/>
                <w:color w:val="000000"/>
                <w:sz w:val="16"/>
                <w:szCs w:val="16"/>
                <w:u w:val="none"/>
              </w:rPr>
            </w:pPr>
          </w:p>
        </w:tc>
      </w:tr>
      <w:tr w14:paraId="0B485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AD32A">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C830B">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8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9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生态效益成果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F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5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DF82">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AB9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0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2779">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AE6D">
            <w:pPr>
              <w:jc w:val="center"/>
              <w:rPr>
                <w:rFonts w:hint="eastAsia" w:ascii="微软雅黑" w:hAnsi="微软雅黑" w:eastAsia="微软雅黑" w:cs="微软雅黑"/>
                <w:i/>
                <w:iCs/>
                <w:color w:val="000000"/>
                <w:sz w:val="16"/>
                <w:szCs w:val="16"/>
                <w:u w:val="none"/>
              </w:rPr>
            </w:pPr>
          </w:p>
        </w:tc>
      </w:tr>
      <w:tr w14:paraId="5DA9D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15E2F">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2779D">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4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55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0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1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1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834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F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E40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344D">
            <w:pPr>
              <w:jc w:val="center"/>
              <w:rPr>
                <w:rFonts w:hint="eastAsia" w:ascii="微软雅黑" w:hAnsi="微软雅黑" w:eastAsia="微软雅黑" w:cs="微软雅黑"/>
                <w:i/>
                <w:iCs/>
                <w:color w:val="000000"/>
                <w:sz w:val="16"/>
                <w:szCs w:val="16"/>
                <w:u w:val="none"/>
              </w:rPr>
            </w:pPr>
          </w:p>
        </w:tc>
      </w:tr>
      <w:tr w14:paraId="45D27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8C31F">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7D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6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4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3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C3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C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342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5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68E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4011">
            <w:pPr>
              <w:jc w:val="center"/>
              <w:rPr>
                <w:rFonts w:hint="eastAsia" w:ascii="微软雅黑" w:hAnsi="微软雅黑" w:eastAsia="微软雅黑" w:cs="微软雅黑"/>
                <w:i/>
                <w:iCs/>
                <w:color w:val="000000"/>
                <w:sz w:val="16"/>
                <w:szCs w:val="16"/>
                <w:u w:val="none"/>
              </w:rPr>
            </w:pPr>
          </w:p>
        </w:tc>
      </w:tr>
      <w:tr w14:paraId="5581C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37C6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1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423A">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F3BF">
            <w:pPr>
              <w:rPr>
                <w:rFonts w:hint="eastAsia" w:ascii="宋体" w:hAnsi="宋体" w:eastAsia="宋体" w:cs="宋体"/>
                <w:i w:val="0"/>
                <w:iCs w:val="0"/>
                <w:color w:val="000000"/>
                <w:sz w:val="18"/>
                <w:szCs w:val="18"/>
                <w:u w:val="none"/>
              </w:rPr>
            </w:pPr>
          </w:p>
        </w:tc>
      </w:tr>
      <w:tr w14:paraId="6DF06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93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88A7B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A1E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B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DFE55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023C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5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07BB9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6097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81D1EA">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项目负责人：王峰</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B1F43D">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财务负责人：李茜</w:t>
            </w:r>
          </w:p>
        </w:tc>
      </w:tr>
    </w:tbl>
    <w:p w14:paraId="00714413">
      <w:pPr>
        <w:rPr>
          <w:rFonts w:hint="eastAsia" w:hAnsi="Calibri" w:cs="仿宋"/>
          <w:sz w:val="32"/>
          <w:szCs w:val="32"/>
          <w:lang w:val="en-US" w:eastAsia="zh-CN"/>
        </w:rPr>
        <w:sectPr>
          <w:pgSz w:w="16838" w:h="11906" w:orient="landscape"/>
          <w:pgMar w:top="1800" w:right="1440" w:bottom="1800" w:left="1440" w:header="851" w:footer="992" w:gutter="0"/>
          <w:pgNumType w:start="1"/>
          <w:cols w:space="425" w:num="1"/>
          <w:titlePg/>
          <w:docGrid w:type="lines" w:linePitch="312" w:charSpace="0"/>
        </w:sectPr>
      </w:pPr>
    </w:p>
    <w:tbl>
      <w:tblPr>
        <w:tblStyle w:val="16"/>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51"/>
        <w:gridCol w:w="1775"/>
        <w:gridCol w:w="2263"/>
        <w:gridCol w:w="521"/>
        <w:gridCol w:w="1677"/>
        <w:gridCol w:w="521"/>
        <w:gridCol w:w="1091"/>
        <w:gridCol w:w="505"/>
        <w:gridCol w:w="456"/>
        <w:gridCol w:w="2556"/>
      </w:tblGrid>
      <w:tr w14:paraId="03AD0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43466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4A67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4CF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02DB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51190222T000004835377-中央、省、市重大会议或活动社会氛围营造经费</w:t>
            </w:r>
          </w:p>
        </w:tc>
      </w:tr>
      <w:tr w14:paraId="0273A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212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FC55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宣传部</w:t>
            </w:r>
          </w:p>
        </w:tc>
        <w:tc>
          <w:tcPr>
            <w:tcW w:w="1091" w:type="dxa"/>
            <w:tcBorders>
              <w:top w:val="nil"/>
              <w:left w:val="nil"/>
              <w:bottom w:val="nil"/>
              <w:right w:val="nil"/>
            </w:tcBorders>
            <w:shd w:val="clear" w:color="auto" w:fill="auto"/>
            <w:vAlign w:val="center"/>
          </w:tcPr>
          <w:p w14:paraId="07B8BBC0">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DD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中国共产党巴中市巴州区委员会宣传部</w:t>
            </w:r>
          </w:p>
        </w:tc>
      </w:tr>
      <w:tr w14:paraId="2248A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73E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5C8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762A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79098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731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BBB08">
            <w:pP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CC777">
            <w:pPr>
              <w:rPr>
                <w:rFonts w:hint="eastAsia" w:ascii="宋体" w:hAnsi="宋体" w:eastAsia="宋体" w:cs="宋体"/>
                <w:i w:val="0"/>
                <w:iCs w:val="0"/>
                <w:color w:val="000000"/>
                <w:sz w:val="18"/>
                <w:szCs w:val="18"/>
                <w:u w:val="none"/>
              </w:rPr>
            </w:pP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695D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氛围营造，提高群众知晓率、参与率。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618FB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5DF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140F9">
            <w:pP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D1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D85D12">
            <w:pPr>
              <w:rPr>
                <w:rFonts w:hint="eastAsia" w:ascii="宋体" w:hAnsi="宋体" w:eastAsia="宋体" w:cs="宋体"/>
                <w:i w:val="0"/>
                <w:iCs w:val="0"/>
                <w:color w:val="000000"/>
                <w:sz w:val="18"/>
                <w:szCs w:val="18"/>
                <w:u w:val="none"/>
              </w:rPr>
            </w:pPr>
          </w:p>
        </w:tc>
      </w:tr>
      <w:tr w14:paraId="423D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D7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1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3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6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61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C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2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5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8C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57F5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B5087">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6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E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B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FA0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E5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A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CB7D">
            <w:pPr>
              <w:jc w:val="center"/>
              <w:rPr>
                <w:rFonts w:hint="eastAsia" w:ascii="宋体" w:hAnsi="宋体" w:eastAsia="宋体" w:cs="宋体"/>
                <w:i w:val="0"/>
                <w:iCs w:val="0"/>
                <w:color w:val="000000"/>
                <w:sz w:val="18"/>
                <w:szCs w:val="18"/>
                <w:u w:val="none"/>
              </w:rPr>
            </w:pP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F1E27">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7B4F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6C4E4">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5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7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5D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29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F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7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3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FAF7C">
            <w:pPr>
              <w:rPr>
                <w:rFonts w:hint="eastAsia" w:ascii="黑体" w:hAnsi="黑体" w:eastAsia="黑体" w:cs="黑体"/>
                <w:i/>
                <w:iCs/>
                <w:color w:val="000000"/>
                <w:sz w:val="18"/>
                <w:szCs w:val="18"/>
                <w:u w:val="none"/>
              </w:rPr>
            </w:pPr>
          </w:p>
        </w:tc>
      </w:tr>
      <w:tr w14:paraId="20F7D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6F914">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54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B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C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BC8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25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7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C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D98D1">
            <w:pPr>
              <w:rPr>
                <w:rFonts w:hint="eastAsia" w:ascii="黑体" w:hAnsi="黑体" w:eastAsia="黑体" w:cs="黑体"/>
                <w:i/>
                <w:iCs/>
                <w:color w:val="000000"/>
                <w:sz w:val="18"/>
                <w:szCs w:val="18"/>
                <w:u w:val="none"/>
              </w:rPr>
            </w:pPr>
          </w:p>
        </w:tc>
      </w:tr>
      <w:tr w14:paraId="0F09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E92D8">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2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3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5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D3A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5E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C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AB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7FEDC">
            <w:pPr>
              <w:rPr>
                <w:rFonts w:hint="eastAsia" w:ascii="黑体" w:hAnsi="黑体" w:eastAsia="黑体" w:cs="黑体"/>
                <w:i/>
                <w:iCs/>
                <w:color w:val="000000"/>
                <w:sz w:val="18"/>
                <w:szCs w:val="18"/>
                <w:u w:val="none"/>
              </w:rPr>
            </w:pPr>
          </w:p>
        </w:tc>
      </w:tr>
      <w:tr w14:paraId="59CD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33CB7">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5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73A5">
            <w:pPr>
              <w:jc w:val="cente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7FF3">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1AC9F4">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5A4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F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4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7D6CD">
            <w:pPr>
              <w:rPr>
                <w:rFonts w:hint="eastAsia" w:ascii="黑体" w:hAnsi="黑体" w:eastAsia="黑体" w:cs="黑体"/>
                <w:i/>
                <w:iCs/>
                <w:color w:val="000000"/>
                <w:sz w:val="18"/>
                <w:szCs w:val="18"/>
                <w:u w:val="none"/>
              </w:rPr>
            </w:pPr>
          </w:p>
        </w:tc>
      </w:tr>
      <w:tr w14:paraId="4CC22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70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7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20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A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3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A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C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9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8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E6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6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12B8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F2CDD">
            <w:pPr>
              <w:jc w:val="center"/>
              <w:rPr>
                <w:rFonts w:hint="eastAsia" w:ascii="宋体" w:hAnsi="宋体" w:eastAsia="宋体" w:cs="宋体"/>
                <w:i w:val="0"/>
                <w:iCs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55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0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DF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管辖区域内大型宣传标语、宣传展板投放制作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3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C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BC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ECD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A3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8FAA">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3071">
            <w:pPr>
              <w:jc w:val="center"/>
              <w:rPr>
                <w:rFonts w:hint="eastAsia" w:ascii="微软雅黑" w:hAnsi="微软雅黑" w:eastAsia="微软雅黑" w:cs="微软雅黑"/>
                <w:i/>
                <w:iCs/>
                <w:color w:val="000000"/>
                <w:sz w:val="16"/>
                <w:szCs w:val="16"/>
                <w:u w:val="none"/>
              </w:rPr>
            </w:pPr>
          </w:p>
        </w:tc>
      </w:tr>
      <w:tr w14:paraId="0A88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A7FC7">
            <w:pPr>
              <w:jc w:val="cente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30E20">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1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4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制作严谨精美、无破损、不出政治错误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2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5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85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AA0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A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97AB">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3081">
            <w:pPr>
              <w:jc w:val="center"/>
              <w:rPr>
                <w:rFonts w:hint="eastAsia" w:ascii="微软雅黑" w:hAnsi="微软雅黑" w:eastAsia="微软雅黑" w:cs="微软雅黑"/>
                <w:i/>
                <w:iCs/>
                <w:color w:val="000000"/>
                <w:sz w:val="16"/>
                <w:szCs w:val="16"/>
                <w:u w:val="none"/>
              </w:rPr>
            </w:pPr>
          </w:p>
        </w:tc>
      </w:tr>
      <w:tr w14:paraId="78A3A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70C8C">
            <w:pPr>
              <w:jc w:val="cente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E96BB">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1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9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F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1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B7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6FB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5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6486">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7193">
            <w:pPr>
              <w:jc w:val="center"/>
              <w:rPr>
                <w:rFonts w:hint="eastAsia" w:ascii="微软雅黑" w:hAnsi="微软雅黑" w:eastAsia="微软雅黑" w:cs="微软雅黑"/>
                <w:i/>
                <w:iCs/>
                <w:color w:val="000000"/>
                <w:sz w:val="16"/>
                <w:szCs w:val="16"/>
                <w:u w:val="none"/>
              </w:rPr>
            </w:pPr>
          </w:p>
        </w:tc>
      </w:tr>
      <w:tr w14:paraId="30458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A284F">
            <w:pPr>
              <w:jc w:val="center"/>
              <w:rPr>
                <w:rFonts w:hint="eastAsia" w:ascii="宋体" w:hAnsi="宋体" w:eastAsia="宋体" w:cs="宋体"/>
                <w:i w:val="0"/>
                <w:iCs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9B7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BC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1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6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85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89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349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7F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2480">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21DF">
            <w:pPr>
              <w:jc w:val="center"/>
              <w:rPr>
                <w:rFonts w:hint="eastAsia" w:ascii="微软雅黑" w:hAnsi="微软雅黑" w:eastAsia="微软雅黑" w:cs="微软雅黑"/>
                <w:i/>
                <w:iCs/>
                <w:color w:val="000000"/>
                <w:sz w:val="16"/>
                <w:szCs w:val="16"/>
                <w:u w:val="none"/>
              </w:rPr>
            </w:pPr>
          </w:p>
        </w:tc>
      </w:tr>
      <w:tr w14:paraId="302E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E25F9">
            <w:pPr>
              <w:jc w:val="cente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48260">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7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C3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2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E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E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7D3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EF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2D3A">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1B45">
            <w:pPr>
              <w:jc w:val="center"/>
              <w:rPr>
                <w:rFonts w:hint="eastAsia" w:ascii="微软雅黑" w:hAnsi="微软雅黑" w:eastAsia="微软雅黑" w:cs="微软雅黑"/>
                <w:i/>
                <w:iCs/>
                <w:color w:val="000000"/>
                <w:sz w:val="16"/>
                <w:szCs w:val="16"/>
                <w:u w:val="none"/>
              </w:rPr>
            </w:pPr>
          </w:p>
        </w:tc>
      </w:tr>
      <w:tr w14:paraId="464F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5FE12">
            <w:pPr>
              <w:jc w:val="cente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74945">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96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5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5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B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F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283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66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52D8">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F11E">
            <w:pPr>
              <w:jc w:val="center"/>
              <w:rPr>
                <w:rFonts w:hint="eastAsia" w:ascii="微软雅黑" w:hAnsi="微软雅黑" w:eastAsia="微软雅黑" w:cs="微软雅黑"/>
                <w:i/>
                <w:iCs/>
                <w:color w:val="000000"/>
                <w:sz w:val="16"/>
                <w:szCs w:val="16"/>
                <w:u w:val="none"/>
              </w:rPr>
            </w:pPr>
          </w:p>
        </w:tc>
      </w:tr>
      <w:tr w14:paraId="4A254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F8B76">
            <w:pPr>
              <w:jc w:val="cente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756CA">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22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C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6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8A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2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C97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C6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A5FC">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704A">
            <w:pPr>
              <w:jc w:val="center"/>
              <w:rPr>
                <w:rFonts w:hint="eastAsia" w:ascii="微软雅黑" w:hAnsi="微软雅黑" w:eastAsia="微软雅黑" w:cs="微软雅黑"/>
                <w:i/>
                <w:iCs/>
                <w:color w:val="000000"/>
                <w:sz w:val="16"/>
                <w:szCs w:val="16"/>
                <w:u w:val="none"/>
              </w:rPr>
            </w:pPr>
          </w:p>
        </w:tc>
      </w:tr>
      <w:tr w14:paraId="30BA9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8D1F0">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C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7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9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6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A9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61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E20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C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26E3">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6140">
            <w:pPr>
              <w:jc w:val="center"/>
              <w:rPr>
                <w:rFonts w:hint="eastAsia" w:ascii="微软雅黑" w:hAnsi="微软雅黑" w:eastAsia="微软雅黑" w:cs="微软雅黑"/>
                <w:i/>
                <w:iCs/>
                <w:color w:val="000000"/>
                <w:sz w:val="16"/>
                <w:szCs w:val="16"/>
                <w:u w:val="none"/>
              </w:rPr>
            </w:pPr>
          </w:p>
        </w:tc>
      </w:tr>
      <w:tr w14:paraId="0EFD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42C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7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E495">
            <w:pP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3930">
            <w:pPr>
              <w:rPr>
                <w:rFonts w:hint="eastAsia" w:ascii="宋体" w:hAnsi="宋体" w:eastAsia="宋体" w:cs="宋体"/>
                <w:i w:val="0"/>
                <w:iCs w:val="0"/>
                <w:color w:val="000000"/>
                <w:sz w:val="18"/>
                <w:szCs w:val="18"/>
                <w:u w:val="none"/>
              </w:rPr>
            </w:pPr>
          </w:p>
        </w:tc>
      </w:tr>
      <w:tr w14:paraId="3166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F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4B112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6C179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8F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714A2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104EA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2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159E7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3211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499417">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项目负责人：王峰</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F919F9">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财务负责人：李茜</w:t>
            </w:r>
          </w:p>
        </w:tc>
      </w:tr>
      <w:tr w14:paraId="3A848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794F0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CB1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13F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68CD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51190223T000008780492-宣传经费及主流媒体合作经费</w:t>
            </w:r>
          </w:p>
        </w:tc>
      </w:tr>
      <w:tr w14:paraId="61736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800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4BE2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宣传部</w:t>
            </w:r>
          </w:p>
        </w:tc>
        <w:tc>
          <w:tcPr>
            <w:tcW w:w="1091" w:type="dxa"/>
            <w:tcBorders>
              <w:top w:val="nil"/>
              <w:left w:val="nil"/>
              <w:bottom w:val="nil"/>
              <w:right w:val="nil"/>
            </w:tcBorders>
            <w:shd w:val="clear" w:color="auto" w:fill="auto"/>
            <w:vAlign w:val="center"/>
          </w:tcPr>
          <w:p w14:paraId="013D64F5">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F23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中国共产党巴中市巴州区委员会宣传部</w:t>
            </w:r>
          </w:p>
        </w:tc>
      </w:tr>
      <w:tr w14:paraId="0FA3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3BB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8D5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B45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11837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8A1D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CBC6F">
            <w:pP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875D8">
            <w:pPr>
              <w:rPr>
                <w:rFonts w:hint="eastAsia" w:ascii="宋体" w:hAnsi="宋体" w:eastAsia="宋体" w:cs="宋体"/>
                <w:i w:val="0"/>
                <w:iCs w:val="0"/>
                <w:color w:val="000000"/>
                <w:sz w:val="18"/>
                <w:szCs w:val="18"/>
                <w:u w:val="none"/>
              </w:rPr>
            </w:pPr>
          </w:p>
        </w:tc>
        <w:tc>
          <w:tcPr>
            <w:tcW w:w="67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92EB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攻大报、上头条、宣传推介新举措新成效，树立新形象在中央、省、市级主流媒体重要版面刊登（播）一批有看点、有价值、有影响力的新闻作品，全面讲好巴州故事，有效提升了巴州知名度和美誉度。</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6218C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6482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79138">
            <w:pP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5C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C8E3C5">
            <w:pPr>
              <w:rPr>
                <w:rFonts w:hint="eastAsia" w:ascii="宋体" w:hAnsi="宋体" w:eastAsia="宋体" w:cs="宋体"/>
                <w:i w:val="0"/>
                <w:iCs w:val="0"/>
                <w:color w:val="000000"/>
                <w:sz w:val="18"/>
                <w:szCs w:val="18"/>
                <w:u w:val="none"/>
              </w:rPr>
            </w:pPr>
          </w:p>
        </w:tc>
      </w:tr>
      <w:tr w14:paraId="77583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D7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E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4E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9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A77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7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6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3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1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447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F9451">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D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D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1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CE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5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25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3FE8">
            <w:pPr>
              <w:jc w:val="center"/>
              <w:rPr>
                <w:rFonts w:hint="eastAsia" w:ascii="宋体" w:hAnsi="宋体" w:eastAsia="宋体" w:cs="宋体"/>
                <w:i w:val="0"/>
                <w:iCs w:val="0"/>
                <w:color w:val="000000"/>
                <w:sz w:val="18"/>
                <w:szCs w:val="18"/>
                <w:u w:val="none"/>
              </w:rPr>
            </w:pPr>
          </w:p>
        </w:tc>
        <w:tc>
          <w:tcPr>
            <w:tcW w:w="2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E5568">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B7A2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2E1D9">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3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8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B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91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18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3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7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BDF91">
            <w:pPr>
              <w:rPr>
                <w:rFonts w:hint="eastAsia" w:ascii="黑体" w:hAnsi="黑体" w:eastAsia="黑体" w:cs="黑体"/>
                <w:i/>
                <w:iCs/>
                <w:color w:val="000000"/>
                <w:sz w:val="18"/>
                <w:szCs w:val="18"/>
                <w:u w:val="none"/>
              </w:rPr>
            </w:pPr>
          </w:p>
        </w:tc>
      </w:tr>
      <w:tr w14:paraId="0D5AA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81306">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1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9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8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D655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2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6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F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556F9">
            <w:pPr>
              <w:rPr>
                <w:rFonts w:hint="eastAsia" w:ascii="黑体" w:hAnsi="黑体" w:eastAsia="黑体" w:cs="黑体"/>
                <w:i/>
                <w:iCs/>
                <w:color w:val="000000"/>
                <w:sz w:val="18"/>
                <w:szCs w:val="18"/>
                <w:u w:val="none"/>
              </w:rPr>
            </w:pPr>
          </w:p>
        </w:tc>
      </w:tr>
      <w:tr w14:paraId="5813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FD835">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F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22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1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36C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7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B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C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DC64C">
            <w:pPr>
              <w:rPr>
                <w:rFonts w:hint="eastAsia" w:ascii="黑体" w:hAnsi="黑体" w:eastAsia="黑体" w:cs="黑体"/>
                <w:i/>
                <w:iCs/>
                <w:color w:val="000000"/>
                <w:sz w:val="18"/>
                <w:szCs w:val="18"/>
                <w:u w:val="none"/>
              </w:rPr>
            </w:pPr>
          </w:p>
        </w:tc>
      </w:tr>
      <w:tr w14:paraId="32AE6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BF4F0">
            <w:pPr>
              <w:jc w:val="center"/>
              <w:rPr>
                <w:rFonts w:hint="eastAsia" w:ascii="宋体" w:hAnsi="宋体" w:eastAsia="宋体" w:cs="宋体"/>
                <w:i w:val="0"/>
                <w:iCs w:val="0"/>
                <w:color w:val="000000"/>
                <w:sz w:val="18"/>
                <w:szCs w:val="18"/>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0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1AFF">
            <w:pPr>
              <w:jc w:val="center"/>
              <w:rPr>
                <w:rFonts w:hint="eastAsia" w:ascii="微软雅黑" w:hAnsi="微软雅黑" w:eastAsia="微软雅黑" w:cs="微软雅黑"/>
                <w:i/>
                <w:iCs/>
                <w:color w:val="000000"/>
                <w:sz w:val="16"/>
                <w:szCs w:val="16"/>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7767">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C785D">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E2D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4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E8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4A26E">
            <w:pPr>
              <w:rPr>
                <w:rFonts w:hint="eastAsia" w:ascii="黑体" w:hAnsi="黑体" w:eastAsia="黑体" w:cs="黑体"/>
                <w:i/>
                <w:iCs/>
                <w:color w:val="000000"/>
                <w:sz w:val="18"/>
                <w:szCs w:val="18"/>
                <w:u w:val="none"/>
              </w:rPr>
            </w:pPr>
          </w:p>
        </w:tc>
      </w:tr>
      <w:tr w14:paraId="584EA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171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C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98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8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90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E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E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7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9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2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03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072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536AD">
            <w:pPr>
              <w:jc w:val="center"/>
              <w:rPr>
                <w:rFonts w:hint="eastAsia" w:ascii="宋体" w:hAnsi="宋体" w:eastAsia="宋体" w:cs="宋体"/>
                <w:i w:val="0"/>
                <w:iCs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1E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8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9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主流媒体刊登报道</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B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35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E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C8B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59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02BD">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E338">
            <w:pPr>
              <w:jc w:val="center"/>
              <w:rPr>
                <w:rFonts w:hint="eastAsia" w:ascii="微软雅黑" w:hAnsi="微软雅黑" w:eastAsia="微软雅黑" w:cs="微软雅黑"/>
                <w:i/>
                <w:iCs/>
                <w:color w:val="000000"/>
                <w:sz w:val="16"/>
                <w:szCs w:val="16"/>
                <w:u w:val="none"/>
              </w:rPr>
            </w:pPr>
          </w:p>
        </w:tc>
      </w:tr>
      <w:tr w14:paraId="7E15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C3D9B">
            <w:pPr>
              <w:jc w:val="cente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825DC">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F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7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完成对外宣传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D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C3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0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EC8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E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5910">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7100">
            <w:pPr>
              <w:jc w:val="center"/>
              <w:rPr>
                <w:rFonts w:hint="eastAsia" w:ascii="微软雅黑" w:hAnsi="微软雅黑" w:eastAsia="微软雅黑" w:cs="微软雅黑"/>
                <w:i/>
                <w:iCs/>
                <w:color w:val="000000"/>
                <w:sz w:val="16"/>
                <w:szCs w:val="16"/>
                <w:u w:val="none"/>
              </w:rPr>
            </w:pPr>
          </w:p>
        </w:tc>
      </w:tr>
      <w:tr w14:paraId="0F865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66C37">
            <w:pPr>
              <w:jc w:val="cente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1E6F3">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8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A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CD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B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7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F62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13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F253">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F775">
            <w:pPr>
              <w:jc w:val="center"/>
              <w:rPr>
                <w:rFonts w:hint="eastAsia" w:ascii="微软雅黑" w:hAnsi="微软雅黑" w:eastAsia="微软雅黑" w:cs="微软雅黑"/>
                <w:i/>
                <w:iCs/>
                <w:color w:val="000000"/>
                <w:sz w:val="16"/>
                <w:szCs w:val="16"/>
                <w:u w:val="none"/>
              </w:rPr>
            </w:pPr>
          </w:p>
        </w:tc>
      </w:tr>
      <w:tr w14:paraId="6EBFF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BBD8D">
            <w:pPr>
              <w:jc w:val="center"/>
              <w:rPr>
                <w:rFonts w:hint="eastAsia" w:ascii="宋体" w:hAnsi="宋体" w:eastAsia="宋体" w:cs="宋体"/>
                <w:i w:val="0"/>
                <w:iCs w:val="0"/>
                <w:color w:val="000000"/>
                <w:sz w:val="18"/>
                <w:szCs w:val="18"/>
                <w:u w:val="none"/>
              </w:rPr>
            </w:pP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88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37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5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78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0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E2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EBE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B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347D">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16D5">
            <w:pPr>
              <w:jc w:val="center"/>
              <w:rPr>
                <w:rFonts w:hint="eastAsia" w:ascii="微软雅黑" w:hAnsi="微软雅黑" w:eastAsia="微软雅黑" w:cs="微软雅黑"/>
                <w:i/>
                <w:iCs/>
                <w:color w:val="000000"/>
                <w:sz w:val="16"/>
                <w:szCs w:val="16"/>
                <w:u w:val="none"/>
              </w:rPr>
            </w:pPr>
          </w:p>
        </w:tc>
      </w:tr>
      <w:tr w14:paraId="20977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A5774">
            <w:pPr>
              <w:jc w:val="cente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92A0B">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6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24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B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5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6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329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C0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026A">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DC04">
            <w:pPr>
              <w:jc w:val="center"/>
              <w:rPr>
                <w:rFonts w:hint="eastAsia" w:ascii="微软雅黑" w:hAnsi="微软雅黑" w:eastAsia="微软雅黑" w:cs="微软雅黑"/>
                <w:i/>
                <w:iCs/>
                <w:color w:val="000000"/>
                <w:sz w:val="16"/>
                <w:szCs w:val="16"/>
                <w:u w:val="none"/>
              </w:rPr>
            </w:pPr>
          </w:p>
        </w:tc>
      </w:tr>
      <w:tr w14:paraId="5B97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E969C">
            <w:pPr>
              <w:jc w:val="cente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7FD93">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3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2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2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A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50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851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A9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CE53">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F9C6">
            <w:pPr>
              <w:jc w:val="center"/>
              <w:rPr>
                <w:rFonts w:hint="eastAsia" w:ascii="微软雅黑" w:hAnsi="微软雅黑" w:eastAsia="微软雅黑" w:cs="微软雅黑"/>
                <w:i/>
                <w:iCs/>
                <w:color w:val="000000"/>
                <w:sz w:val="16"/>
                <w:szCs w:val="16"/>
                <w:u w:val="none"/>
              </w:rPr>
            </w:pPr>
          </w:p>
        </w:tc>
      </w:tr>
      <w:tr w14:paraId="095E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8E40D">
            <w:pPr>
              <w:jc w:val="center"/>
              <w:rPr>
                <w:rFonts w:hint="eastAsia" w:ascii="宋体" w:hAnsi="宋体" w:eastAsia="宋体" w:cs="宋体"/>
                <w:i w:val="0"/>
                <w:iCs w:val="0"/>
                <w:color w:val="000000"/>
                <w:sz w:val="18"/>
                <w:szCs w:val="18"/>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86927">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1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4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0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B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4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637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E3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FFB5">
            <w:pPr>
              <w:jc w:val="cente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A2F6">
            <w:pPr>
              <w:jc w:val="center"/>
              <w:rPr>
                <w:rFonts w:hint="eastAsia" w:ascii="微软雅黑" w:hAnsi="微软雅黑" w:eastAsia="微软雅黑" w:cs="微软雅黑"/>
                <w:i/>
                <w:iCs/>
                <w:color w:val="000000"/>
                <w:sz w:val="16"/>
                <w:szCs w:val="16"/>
                <w:u w:val="none"/>
              </w:rPr>
            </w:pPr>
          </w:p>
        </w:tc>
      </w:tr>
      <w:tr w14:paraId="283A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5491F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0E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83A7">
            <w:pPr>
              <w:rPr>
                <w:rFonts w:hint="eastAsia" w:ascii="宋体" w:hAnsi="宋体" w:eastAsia="宋体" w:cs="宋体"/>
                <w:i w:val="0"/>
                <w:iCs w:val="0"/>
                <w:color w:val="000000"/>
                <w:sz w:val="18"/>
                <w:szCs w:val="18"/>
                <w:u w:val="none"/>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42D1">
            <w:pPr>
              <w:rPr>
                <w:rFonts w:hint="eastAsia" w:ascii="宋体" w:hAnsi="宋体" w:eastAsia="宋体" w:cs="宋体"/>
                <w:i w:val="0"/>
                <w:iCs w:val="0"/>
                <w:color w:val="000000"/>
                <w:sz w:val="18"/>
                <w:szCs w:val="18"/>
                <w:u w:val="none"/>
              </w:rPr>
            </w:pPr>
          </w:p>
        </w:tc>
      </w:tr>
      <w:tr w14:paraId="6CE13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7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03732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5395B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1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85D32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5D736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7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377EE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2234A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A53315">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项目负责人：王峰</w:t>
            </w:r>
          </w:p>
        </w:tc>
        <w:tc>
          <w:tcPr>
            <w:tcW w:w="68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B78FBF">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财务负责人：李茜</w:t>
            </w:r>
          </w:p>
        </w:tc>
      </w:tr>
    </w:tbl>
    <w:p w14:paraId="1E1BBA29">
      <w:pPr>
        <w:rPr>
          <w:rFonts w:hint="eastAsia" w:hAnsi="Calibri" w:cs="仿宋"/>
          <w:sz w:val="32"/>
          <w:szCs w:val="32"/>
          <w:lang w:val="en-US" w:eastAsia="zh-CN"/>
        </w:rPr>
        <w:sectPr>
          <w:pgSz w:w="16838" w:h="11906" w:orient="landscape"/>
          <w:pgMar w:top="1800" w:right="1440" w:bottom="1800" w:left="1440" w:header="851" w:footer="992" w:gutter="0"/>
          <w:pgNumType w:start="1"/>
          <w:cols w:space="425" w:num="1"/>
          <w:titlePg/>
          <w:docGrid w:type="lines" w:linePitch="312" w:charSpace="0"/>
        </w:sectPr>
      </w:pPr>
    </w:p>
    <w:tbl>
      <w:tblPr>
        <w:tblStyle w:val="16"/>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51"/>
        <w:gridCol w:w="1775"/>
        <w:gridCol w:w="2263"/>
        <w:gridCol w:w="521"/>
        <w:gridCol w:w="1677"/>
        <w:gridCol w:w="521"/>
        <w:gridCol w:w="1091"/>
        <w:gridCol w:w="505"/>
        <w:gridCol w:w="456"/>
        <w:gridCol w:w="2556"/>
      </w:tblGrid>
      <w:tr w14:paraId="5B875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1A48F2">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236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C2C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C6FE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51190223T000008782973-文化活动及文化建设</w:t>
            </w:r>
          </w:p>
        </w:tc>
      </w:tr>
      <w:tr w14:paraId="7B2EC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350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6C41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宣传部</w:t>
            </w:r>
          </w:p>
        </w:tc>
        <w:tc>
          <w:tcPr>
            <w:tcW w:w="1091" w:type="dxa"/>
            <w:tcBorders>
              <w:top w:val="nil"/>
              <w:left w:val="nil"/>
              <w:bottom w:val="nil"/>
              <w:right w:val="nil"/>
            </w:tcBorders>
            <w:shd w:val="clear" w:color="auto" w:fill="auto"/>
            <w:vAlign w:val="center"/>
          </w:tcPr>
          <w:p w14:paraId="20F30333">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A3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中国共产党巴中市巴州区委员会宣传部</w:t>
            </w:r>
          </w:p>
        </w:tc>
      </w:tr>
      <w:tr w14:paraId="4BF2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19C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9DC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8E6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AB1A7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F0B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5E76E">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F3EEC">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1E9B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打造并推介优秀文艺精品，为乡村聚居点植入文化元素。巩固提升、添置文化设施设备，丰富群众精神文化生活。打造文化精品，助力乡村振兴。</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E3A47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077A7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E8C0E">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90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4F4501">
            <w:pPr>
              <w:rPr>
                <w:rFonts w:hint="eastAsia" w:ascii="宋体" w:hAnsi="宋体" w:eastAsia="宋体" w:cs="宋体"/>
                <w:i w:val="0"/>
                <w:iCs w:val="0"/>
                <w:color w:val="000000"/>
                <w:sz w:val="18"/>
                <w:szCs w:val="18"/>
                <w:u w:val="none"/>
              </w:rPr>
            </w:pPr>
          </w:p>
        </w:tc>
      </w:tr>
      <w:tr w14:paraId="575BE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DBC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BB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0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B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95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8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F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8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6E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D86D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D85B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6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A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D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3B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5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F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662B">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E6D1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058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763D9">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7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C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7B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8B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5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1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2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23250">
            <w:pPr>
              <w:rPr>
                <w:rFonts w:hint="eastAsia" w:ascii="黑体" w:hAnsi="黑体" w:eastAsia="黑体" w:cs="黑体"/>
                <w:i/>
                <w:iCs/>
                <w:color w:val="000000"/>
                <w:sz w:val="18"/>
                <w:szCs w:val="18"/>
                <w:u w:val="none"/>
              </w:rPr>
            </w:pPr>
          </w:p>
        </w:tc>
      </w:tr>
      <w:tr w14:paraId="1DFAC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99BAB">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1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6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1F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8C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AD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8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1C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E24FF">
            <w:pPr>
              <w:rPr>
                <w:rFonts w:hint="eastAsia" w:ascii="黑体" w:hAnsi="黑体" w:eastAsia="黑体" w:cs="黑体"/>
                <w:i/>
                <w:iCs/>
                <w:color w:val="000000"/>
                <w:sz w:val="18"/>
                <w:szCs w:val="18"/>
                <w:u w:val="none"/>
              </w:rPr>
            </w:pPr>
          </w:p>
        </w:tc>
      </w:tr>
      <w:tr w14:paraId="1A439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A45D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A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C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6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65A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D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1D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9B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F816B">
            <w:pPr>
              <w:rPr>
                <w:rFonts w:hint="eastAsia" w:ascii="黑体" w:hAnsi="黑体" w:eastAsia="黑体" w:cs="黑体"/>
                <w:i/>
                <w:iCs/>
                <w:color w:val="000000"/>
                <w:sz w:val="18"/>
                <w:szCs w:val="18"/>
                <w:u w:val="none"/>
              </w:rPr>
            </w:pPr>
          </w:p>
        </w:tc>
      </w:tr>
      <w:tr w14:paraId="312A2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58577">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4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C1BA">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9018">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A80BE">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28A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E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5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38D08">
            <w:pPr>
              <w:rPr>
                <w:rFonts w:hint="eastAsia" w:ascii="黑体" w:hAnsi="黑体" w:eastAsia="黑体" w:cs="黑体"/>
                <w:i/>
                <w:iCs/>
                <w:color w:val="000000"/>
                <w:sz w:val="18"/>
                <w:szCs w:val="18"/>
                <w:u w:val="none"/>
              </w:rPr>
            </w:pPr>
          </w:p>
        </w:tc>
      </w:tr>
      <w:tr w14:paraId="2033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B3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2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9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4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4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B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E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7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D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0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4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52A8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67659">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61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AD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B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完成文化精品打造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A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B3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0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C78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8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E7D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D7DC">
            <w:pPr>
              <w:jc w:val="center"/>
              <w:rPr>
                <w:rFonts w:hint="eastAsia" w:ascii="微软雅黑" w:hAnsi="微软雅黑" w:eastAsia="微软雅黑" w:cs="微软雅黑"/>
                <w:i/>
                <w:iCs/>
                <w:color w:val="000000"/>
                <w:sz w:val="16"/>
                <w:szCs w:val="16"/>
                <w:u w:val="none"/>
              </w:rPr>
            </w:pPr>
          </w:p>
        </w:tc>
      </w:tr>
      <w:tr w14:paraId="0EBCD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7465C">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61A0F">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4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2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打造文艺精品</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8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6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9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F6F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C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DA91">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7156">
            <w:pPr>
              <w:jc w:val="center"/>
              <w:rPr>
                <w:rFonts w:hint="eastAsia" w:ascii="微软雅黑" w:hAnsi="微软雅黑" w:eastAsia="微软雅黑" w:cs="微软雅黑"/>
                <w:i/>
                <w:iCs/>
                <w:color w:val="000000"/>
                <w:sz w:val="16"/>
                <w:szCs w:val="16"/>
                <w:u w:val="none"/>
              </w:rPr>
            </w:pPr>
          </w:p>
        </w:tc>
      </w:tr>
      <w:tr w14:paraId="2CE9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F8BA3">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3D7EE">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8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DD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完成时效</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1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7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B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026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BC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40A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C4BC">
            <w:pPr>
              <w:jc w:val="center"/>
              <w:rPr>
                <w:rFonts w:hint="eastAsia" w:ascii="微软雅黑" w:hAnsi="微软雅黑" w:eastAsia="微软雅黑" w:cs="微软雅黑"/>
                <w:i/>
                <w:iCs/>
                <w:color w:val="000000"/>
                <w:sz w:val="16"/>
                <w:szCs w:val="16"/>
                <w:u w:val="none"/>
              </w:rPr>
            </w:pPr>
          </w:p>
        </w:tc>
      </w:tr>
      <w:tr w14:paraId="5274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CC626">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64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9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2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3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1E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B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203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53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96EF">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64CE">
            <w:pPr>
              <w:jc w:val="center"/>
              <w:rPr>
                <w:rFonts w:hint="eastAsia" w:ascii="微软雅黑" w:hAnsi="微软雅黑" w:eastAsia="微软雅黑" w:cs="微软雅黑"/>
                <w:i/>
                <w:iCs/>
                <w:color w:val="000000"/>
                <w:sz w:val="16"/>
                <w:szCs w:val="16"/>
                <w:u w:val="none"/>
              </w:rPr>
            </w:pPr>
          </w:p>
        </w:tc>
      </w:tr>
      <w:tr w14:paraId="1910A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47C4F">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8812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2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E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2F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B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A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178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D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0356">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DBD7">
            <w:pPr>
              <w:jc w:val="center"/>
              <w:rPr>
                <w:rFonts w:hint="eastAsia" w:ascii="微软雅黑" w:hAnsi="微软雅黑" w:eastAsia="微软雅黑" w:cs="微软雅黑"/>
                <w:i/>
                <w:iCs/>
                <w:color w:val="000000"/>
                <w:sz w:val="16"/>
                <w:szCs w:val="16"/>
                <w:u w:val="none"/>
              </w:rPr>
            </w:pPr>
          </w:p>
        </w:tc>
      </w:tr>
      <w:tr w14:paraId="679B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60197">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4D61F">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5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E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6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9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E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9DF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3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7078">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2A2E">
            <w:pPr>
              <w:jc w:val="center"/>
              <w:rPr>
                <w:rFonts w:hint="eastAsia" w:ascii="微软雅黑" w:hAnsi="微软雅黑" w:eastAsia="微软雅黑" w:cs="微软雅黑"/>
                <w:i/>
                <w:iCs/>
                <w:color w:val="000000"/>
                <w:sz w:val="16"/>
                <w:szCs w:val="16"/>
                <w:u w:val="none"/>
              </w:rPr>
            </w:pPr>
          </w:p>
        </w:tc>
      </w:tr>
      <w:tr w14:paraId="4910A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F2E3C">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185C5">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3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1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9F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51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E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452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52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0B37">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A643">
            <w:pPr>
              <w:jc w:val="center"/>
              <w:rPr>
                <w:rFonts w:hint="eastAsia" w:ascii="微软雅黑" w:hAnsi="微软雅黑" w:eastAsia="微软雅黑" w:cs="微软雅黑"/>
                <w:i/>
                <w:iCs/>
                <w:color w:val="000000"/>
                <w:sz w:val="16"/>
                <w:szCs w:val="16"/>
                <w:u w:val="none"/>
              </w:rPr>
            </w:pPr>
          </w:p>
        </w:tc>
      </w:tr>
      <w:tr w14:paraId="34626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77C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3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6CC9">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DF91">
            <w:pPr>
              <w:rPr>
                <w:rFonts w:hint="eastAsia" w:ascii="宋体" w:hAnsi="宋体" w:eastAsia="宋体" w:cs="宋体"/>
                <w:i w:val="0"/>
                <w:iCs w:val="0"/>
                <w:color w:val="000000"/>
                <w:sz w:val="18"/>
                <w:szCs w:val="18"/>
                <w:u w:val="none"/>
              </w:rPr>
            </w:pPr>
          </w:p>
        </w:tc>
      </w:tr>
      <w:tr w14:paraId="281B7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E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43B3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00FD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E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0ABFA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7D6EB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38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A4B5F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5B58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0EB6A9">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项目负责人：王峰</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9A2C9A">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财务负责人：李茜</w:t>
            </w:r>
          </w:p>
        </w:tc>
      </w:tr>
    </w:tbl>
    <w:p w14:paraId="7DDA32B0">
      <w:pPr>
        <w:rPr>
          <w:rFonts w:hint="eastAsia" w:hAnsi="Calibri" w:cs="仿宋"/>
          <w:sz w:val="32"/>
          <w:szCs w:val="32"/>
          <w:lang w:val="en-US" w:eastAsia="zh-CN"/>
        </w:rPr>
        <w:sectPr>
          <w:pgSz w:w="16838" w:h="11906" w:orient="landscape"/>
          <w:pgMar w:top="1800" w:right="1440" w:bottom="1800" w:left="1440" w:header="851" w:footer="992" w:gutter="0"/>
          <w:pgNumType w:start="1"/>
          <w:cols w:space="425" w:num="1"/>
          <w:titlePg/>
          <w:docGrid w:type="lines" w:linePitch="312" w:charSpace="0"/>
        </w:sectPr>
      </w:pPr>
    </w:p>
    <w:tbl>
      <w:tblPr>
        <w:tblStyle w:val="16"/>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51"/>
        <w:gridCol w:w="1775"/>
        <w:gridCol w:w="2263"/>
        <w:gridCol w:w="521"/>
        <w:gridCol w:w="1677"/>
        <w:gridCol w:w="521"/>
        <w:gridCol w:w="1091"/>
        <w:gridCol w:w="505"/>
        <w:gridCol w:w="456"/>
        <w:gridCol w:w="2556"/>
      </w:tblGrid>
      <w:tr w14:paraId="59CD6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760513">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0983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030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CE6D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51190223T000008783077-出版物市场监管及扫黄打非工作经费</w:t>
            </w:r>
          </w:p>
        </w:tc>
      </w:tr>
      <w:tr w14:paraId="661F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876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4590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宣传部</w:t>
            </w:r>
          </w:p>
        </w:tc>
        <w:tc>
          <w:tcPr>
            <w:tcW w:w="1091" w:type="dxa"/>
            <w:tcBorders>
              <w:top w:val="nil"/>
              <w:left w:val="nil"/>
              <w:bottom w:val="nil"/>
              <w:right w:val="nil"/>
            </w:tcBorders>
            <w:shd w:val="clear" w:color="auto" w:fill="auto"/>
            <w:vAlign w:val="center"/>
          </w:tcPr>
          <w:p w14:paraId="35A4C8AF">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95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中国共产党巴中市巴州区委员会宣传部</w:t>
            </w:r>
          </w:p>
        </w:tc>
      </w:tr>
      <w:tr w14:paraId="003D1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0C6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E0A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D9B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5750C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B073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06A0F">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5399D">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76F2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出版物市场监管及扫黄打非工作</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DFC5D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14:paraId="3DDA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C94AC">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B5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49B937">
            <w:pPr>
              <w:rPr>
                <w:rFonts w:hint="eastAsia" w:ascii="宋体" w:hAnsi="宋体" w:eastAsia="宋体" w:cs="宋体"/>
                <w:i w:val="0"/>
                <w:iCs w:val="0"/>
                <w:color w:val="000000"/>
                <w:sz w:val="18"/>
                <w:szCs w:val="18"/>
                <w:u w:val="none"/>
              </w:rPr>
            </w:pPr>
          </w:p>
        </w:tc>
      </w:tr>
      <w:tr w14:paraId="7A6C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25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BC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5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F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CC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7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F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E1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52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304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1297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4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1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8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3C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0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E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FC12">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407B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FF9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27A3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9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A7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D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EA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6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F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99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8E768">
            <w:pPr>
              <w:rPr>
                <w:rFonts w:hint="eastAsia" w:ascii="黑体" w:hAnsi="黑体" w:eastAsia="黑体" w:cs="黑体"/>
                <w:i/>
                <w:iCs/>
                <w:color w:val="000000"/>
                <w:sz w:val="18"/>
                <w:szCs w:val="18"/>
                <w:u w:val="none"/>
              </w:rPr>
            </w:pPr>
          </w:p>
        </w:tc>
      </w:tr>
      <w:tr w14:paraId="6817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D7C3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C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9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7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B7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2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C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8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0E0B5">
            <w:pPr>
              <w:rPr>
                <w:rFonts w:hint="eastAsia" w:ascii="黑体" w:hAnsi="黑体" w:eastAsia="黑体" w:cs="黑体"/>
                <w:i/>
                <w:iCs/>
                <w:color w:val="000000"/>
                <w:sz w:val="18"/>
                <w:szCs w:val="18"/>
                <w:u w:val="none"/>
              </w:rPr>
            </w:pPr>
          </w:p>
        </w:tc>
      </w:tr>
      <w:tr w14:paraId="1EC4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B997C">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BC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B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D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594E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1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6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6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B643B">
            <w:pPr>
              <w:rPr>
                <w:rFonts w:hint="eastAsia" w:ascii="黑体" w:hAnsi="黑体" w:eastAsia="黑体" w:cs="黑体"/>
                <w:i/>
                <w:iCs/>
                <w:color w:val="000000"/>
                <w:sz w:val="18"/>
                <w:szCs w:val="18"/>
                <w:u w:val="none"/>
              </w:rPr>
            </w:pPr>
          </w:p>
        </w:tc>
      </w:tr>
      <w:tr w14:paraId="0929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CD4B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8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4254">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D0F6">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03418">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F76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0B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3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4383B">
            <w:pPr>
              <w:rPr>
                <w:rFonts w:hint="eastAsia" w:ascii="黑体" w:hAnsi="黑体" w:eastAsia="黑体" w:cs="黑体"/>
                <w:i/>
                <w:iCs/>
                <w:color w:val="000000"/>
                <w:sz w:val="18"/>
                <w:szCs w:val="18"/>
                <w:u w:val="none"/>
              </w:rPr>
            </w:pPr>
          </w:p>
        </w:tc>
      </w:tr>
      <w:tr w14:paraId="2E72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A7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7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5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7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3B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7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F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2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B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0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D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974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C314A">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66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7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4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完成扫黄打非工作任务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50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B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3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9E5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B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C6C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FEBF">
            <w:pPr>
              <w:jc w:val="center"/>
              <w:rPr>
                <w:rFonts w:hint="eastAsia" w:ascii="微软雅黑" w:hAnsi="微软雅黑" w:eastAsia="微软雅黑" w:cs="微软雅黑"/>
                <w:i/>
                <w:iCs/>
                <w:color w:val="000000"/>
                <w:sz w:val="16"/>
                <w:szCs w:val="16"/>
                <w:u w:val="none"/>
              </w:rPr>
            </w:pPr>
          </w:p>
        </w:tc>
      </w:tr>
      <w:tr w14:paraId="68E57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58028">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C1D16">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0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5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完成扫黄打非工作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2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D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4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95B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4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3D03">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D147">
            <w:pPr>
              <w:jc w:val="center"/>
              <w:rPr>
                <w:rFonts w:hint="eastAsia" w:ascii="微软雅黑" w:hAnsi="微软雅黑" w:eastAsia="微软雅黑" w:cs="微软雅黑"/>
                <w:i/>
                <w:iCs/>
                <w:color w:val="000000"/>
                <w:sz w:val="16"/>
                <w:szCs w:val="16"/>
                <w:u w:val="none"/>
              </w:rPr>
            </w:pPr>
          </w:p>
        </w:tc>
      </w:tr>
      <w:tr w14:paraId="2A3FF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30D95">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04EB7">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93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70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完成时效</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6F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3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5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179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99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591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1037">
            <w:pPr>
              <w:jc w:val="center"/>
              <w:rPr>
                <w:rFonts w:hint="eastAsia" w:ascii="微软雅黑" w:hAnsi="微软雅黑" w:eastAsia="微软雅黑" w:cs="微软雅黑"/>
                <w:i/>
                <w:iCs/>
                <w:color w:val="000000"/>
                <w:sz w:val="16"/>
                <w:szCs w:val="16"/>
                <w:u w:val="none"/>
              </w:rPr>
            </w:pPr>
          </w:p>
        </w:tc>
      </w:tr>
      <w:tr w14:paraId="3EC39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7890D">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EC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AB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2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C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5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7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9CC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8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983B">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2A24">
            <w:pPr>
              <w:jc w:val="center"/>
              <w:rPr>
                <w:rFonts w:hint="eastAsia" w:ascii="微软雅黑" w:hAnsi="微软雅黑" w:eastAsia="微软雅黑" w:cs="微软雅黑"/>
                <w:i/>
                <w:iCs/>
                <w:color w:val="000000"/>
                <w:sz w:val="16"/>
                <w:szCs w:val="16"/>
                <w:u w:val="none"/>
              </w:rPr>
            </w:pPr>
          </w:p>
        </w:tc>
      </w:tr>
      <w:tr w14:paraId="7B19E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5C538">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42303">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6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8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8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8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8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976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F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F3E0">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D7FB">
            <w:pPr>
              <w:jc w:val="center"/>
              <w:rPr>
                <w:rFonts w:hint="eastAsia" w:ascii="微软雅黑" w:hAnsi="微软雅黑" w:eastAsia="微软雅黑" w:cs="微软雅黑"/>
                <w:i/>
                <w:iCs/>
                <w:color w:val="000000"/>
                <w:sz w:val="16"/>
                <w:szCs w:val="16"/>
                <w:u w:val="none"/>
              </w:rPr>
            </w:pPr>
          </w:p>
        </w:tc>
      </w:tr>
      <w:tr w14:paraId="294B8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355E7">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FC21A">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9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6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D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9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0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FDD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AB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0FE2">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154E">
            <w:pPr>
              <w:jc w:val="center"/>
              <w:rPr>
                <w:rFonts w:hint="eastAsia" w:ascii="微软雅黑" w:hAnsi="微软雅黑" w:eastAsia="微软雅黑" w:cs="微软雅黑"/>
                <w:i/>
                <w:iCs/>
                <w:color w:val="000000"/>
                <w:sz w:val="16"/>
                <w:szCs w:val="16"/>
                <w:u w:val="none"/>
              </w:rPr>
            </w:pPr>
          </w:p>
        </w:tc>
      </w:tr>
      <w:tr w14:paraId="40D6D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9420A">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E565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0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0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6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2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6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ADF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3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BD1C">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9021">
            <w:pPr>
              <w:jc w:val="center"/>
              <w:rPr>
                <w:rFonts w:hint="eastAsia" w:ascii="微软雅黑" w:hAnsi="微软雅黑" w:eastAsia="微软雅黑" w:cs="微软雅黑"/>
                <w:i/>
                <w:iCs/>
                <w:color w:val="000000"/>
                <w:sz w:val="16"/>
                <w:szCs w:val="16"/>
                <w:u w:val="none"/>
              </w:rPr>
            </w:pPr>
          </w:p>
        </w:tc>
      </w:tr>
      <w:tr w14:paraId="694D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F5A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0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CB51">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5F5A">
            <w:pPr>
              <w:rPr>
                <w:rFonts w:hint="eastAsia" w:ascii="宋体" w:hAnsi="宋体" w:eastAsia="宋体" w:cs="宋体"/>
                <w:i w:val="0"/>
                <w:iCs w:val="0"/>
                <w:color w:val="000000"/>
                <w:sz w:val="18"/>
                <w:szCs w:val="18"/>
                <w:u w:val="none"/>
              </w:rPr>
            </w:pPr>
          </w:p>
        </w:tc>
      </w:tr>
      <w:tr w14:paraId="6FA26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B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2AF6C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14:paraId="7011F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A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DD032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14:paraId="210CD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D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3538C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14:paraId="7396A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E012EA">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项目负责人：王峰</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FB69C9">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财务负责人：李茜</w:t>
            </w:r>
          </w:p>
        </w:tc>
      </w:tr>
      <w:tr w14:paraId="3BA1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3D1CD59">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1041F7A7">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70F09EF4">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0D49B61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DA7AB34">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475E3D6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52D9106">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61C4A3F8">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45686E8A">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E0C3490">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11E9C3AF">
            <w:pPr>
              <w:rPr>
                <w:rFonts w:hint="eastAsia" w:ascii="宋体" w:hAnsi="宋体" w:eastAsia="宋体" w:cs="宋体"/>
                <w:i w:val="0"/>
                <w:iCs w:val="0"/>
                <w:color w:val="000000"/>
                <w:sz w:val="18"/>
                <w:szCs w:val="18"/>
                <w:u w:val="none"/>
              </w:rPr>
            </w:pPr>
          </w:p>
        </w:tc>
      </w:tr>
    </w:tbl>
    <w:p w14:paraId="4CF3096A">
      <w:pPr>
        <w:rPr>
          <w:rFonts w:hint="eastAsia" w:hAnsi="Calibri" w:cs="仿宋"/>
          <w:sz w:val="32"/>
          <w:szCs w:val="32"/>
          <w:lang w:val="en-US" w:eastAsia="zh-CN"/>
        </w:rPr>
        <w:sectPr>
          <w:pgSz w:w="16838" w:h="11906" w:orient="landscape"/>
          <w:pgMar w:top="1800" w:right="1440" w:bottom="1800" w:left="1440" w:header="851" w:footer="992" w:gutter="0"/>
          <w:pgNumType w:start="1"/>
          <w:cols w:space="425" w:num="1"/>
          <w:titlePg/>
          <w:docGrid w:type="lines" w:linePitch="312" w:charSpace="0"/>
        </w:sectPr>
      </w:pPr>
    </w:p>
    <w:p w14:paraId="3368E403">
      <w:pPr>
        <w:spacing w:line="600" w:lineRule="exact"/>
        <w:ind w:firstLine="420" w:firstLineChars="200"/>
        <w:jc w:val="center"/>
        <w:outlineLvl w:val="0"/>
        <w:rPr>
          <w:rFonts w:hint="eastAsia" w:ascii="仿宋" w:hAnsi="仿宋" w:eastAsia="仿宋"/>
          <w:b w:val="0"/>
          <w:color w:val="auto"/>
          <w:highlight w:val="none"/>
        </w:rPr>
      </w:pPr>
      <w:r>
        <w:rPr>
          <w:rFonts w:hint="eastAsia"/>
          <w:lang w:val="en-US" w:eastAsia="zh-CN"/>
        </w:rPr>
        <w:t>.</w:t>
      </w:r>
      <w:r>
        <w:rPr>
          <w:rFonts w:hint="eastAsia" w:ascii="黑体" w:hAnsi="黑体" w:eastAsia="黑体"/>
          <w:color w:val="auto"/>
          <w:sz w:val="44"/>
          <w:szCs w:val="44"/>
          <w:highlight w:val="none"/>
        </w:rPr>
        <w:t>第</w:t>
      </w:r>
      <w:r>
        <w:rPr>
          <w:rStyle w:val="35"/>
          <w:rFonts w:hint="eastAsia" w:ascii="黑体" w:hAnsi="黑体" w:eastAsia="黑体"/>
          <w:b w:val="0"/>
          <w:color w:val="auto"/>
          <w:highlight w:val="none"/>
        </w:rPr>
        <w:t>五部分 附表</w:t>
      </w:r>
    </w:p>
    <w:p w14:paraId="07066815">
      <w:pPr>
        <w:pStyle w:val="3"/>
        <w:ind w:firstLine="640" w:firstLineChars="200"/>
        <w:rPr>
          <w:rFonts w:ascii="仿宋" w:hAnsi="仿宋" w:eastAsia="仿宋"/>
        </w:rPr>
      </w:pPr>
      <w:r>
        <w:rPr>
          <w:rFonts w:hint="eastAsia" w:ascii="仿宋" w:hAnsi="仿宋" w:eastAsia="仿宋"/>
          <w:b w:val="0"/>
        </w:rPr>
        <w:t>一、收</w:t>
      </w:r>
      <w:r>
        <w:rPr>
          <w:rStyle w:val="30"/>
          <w:rFonts w:hint="eastAsia" w:ascii="仿宋" w:hAnsi="仿宋" w:eastAsia="仿宋"/>
          <w:b w:val="0"/>
          <w:bCs w:val="0"/>
        </w:rPr>
        <w:t>入支出决算总表</w:t>
      </w:r>
    </w:p>
    <w:p w14:paraId="4A721AEA">
      <w:pPr>
        <w:pStyle w:val="3"/>
        <w:ind w:firstLine="640" w:firstLineChars="200"/>
        <w:rPr>
          <w:rFonts w:ascii="仿宋" w:hAnsi="仿宋" w:eastAsia="仿宋"/>
        </w:rPr>
      </w:pPr>
      <w:r>
        <w:rPr>
          <w:rFonts w:hint="eastAsia" w:ascii="仿宋" w:hAnsi="仿宋" w:eastAsia="仿宋"/>
          <w:b w:val="0"/>
        </w:rPr>
        <w:t>二、收</w:t>
      </w:r>
      <w:r>
        <w:rPr>
          <w:rStyle w:val="30"/>
          <w:rFonts w:hint="eastAsia" w:ascii="仿宋" w:hAnsi="仿宋" w:eastAsia="仿宋"/>
          <w:b w:val="0"/>
          <w:bCs w:val="0"/>
        </w:rPr>
        <w:t>入决算表</w:t>
      </w:r>
    </w:p>
    <w:p w14:paraId="14B75C43">
      <w:pPr>
        <w:pStyle w:val="3"/>
        <w:ind w:firstLine="640" w:firstLineChars="200"/>
        <w:rPr>
          <w:rFonts w:ascii="仿宋" w:hAnsi="仿宋" w:eastAsia="仿宋"/>
        </w:rPr>
      </w:pPr>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p>
    <w:p w14:paraId="6071776D">
      <w:pPr>
        <w:pStyle w:val="3"/>
        <w:ind w:firstLine="640" w:firstLineChars="200"/>
        <w:rPr>
          <w:rFonts w:ascii="仿宋" w:hAnsi="仿宋" w:eastAsia="仿宋"/>
          <w:b w:val="0"/>
        </w:rPr>
      </w:pPr>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p>
    <w:p w14:paraId="766EABA3">
      <w:pPr>
        <w:pStyle w:val="3"/>
        <w:ind w:firstLine="640" w:firstLineChars="200"/>
        <w:rPr>
          <w:rStyle w:val="30"/>
          <w:rFonts w:ascii="仿宋" w:hAnsi="仿宋" w:eastAsia="仿宋"/>
          <w:b w:val="0"/>
          <w:bCs w:val="0"/>
        </w:rPr>
      </w:pPr>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p>
    <w:p w14:paraId="74C7DCDA">
      <w:pPr>
        <w:pStyle w:val="3"/>
        <w:ind w:firstLine="640" w:firstLineChars="200"/>
        <w:rPr>
          <w:rFonts w:ascii="仿宋" w:hAnsi="仿宋" w:eastAsia="仿宋"/>
        </w:rPr>
      </w:pPr>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p>
    <w:p w14:paraId="7749A69F">
      <w:pPr>
        <w:pStyle w:val="3"/>
        <w:ind w:firstLine="640" w:firstLineChars="200"/>
        <w:rPr>
          <w:rFonts w:ascii="仿宋" w:hAnsi="仿宋" w:eastAsia="仿宋"/>
        </w:rPr>
      </w:pPr>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p>
    <w:p w14:paraId="10990626">
      <w:pPr>
        <w:pStyle w:val="3"/>
        <w:ind w:firstLine="640" w:firstLineChars="200"/>
        <w:rPr>
          <w:rFonts w:ascii="仿宋" w:hAnsi="仿宋" w:eastAsia="仿宋"/>
        </w:rPr>
      </w:pPr>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p>
    <w:p w14:paraId="742C7ECA">
      <w:pPr>
        <w:pStyle w:val="3"/>
        <w:ind w:firstLine="640" w:firstLineChars="200"/>
        <w:rPr>
          <w:rFonts w:ascii="仿宋" w:hAnsi="仿宋" w:eastAsia="仿宋"/>
        </w:rPr>
      </w:pPr>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p>
    <w:p w14:paraId="7DD83C5F">
      <w:pPr>
        <w:pStyle w:val="3"/>
        <w:ind w:firstLine="640" w:firstLineChars="200"/>
        <w:rPr>
          <w:rFonts w:ascii="仿宋" w:hAnsi="仿宋" w:eastAsia="仿宋"/>
        </w:rPr>
      </w:pPr>
      <w:r>
        <w:rPr>
          <w:rStyle w:val="30"/>
          <w:rFonts w:hint="eastAsia" w:ascii="仿宋" w:hAnsi="仿宋" w:eastAsia="仿宋"/>
          <w:b w:val="0"/>
          <w:bCs w:val="0"/>
        </w:rPr>
        <w:t>十、</w:t>
      </w:r>
      <w:r>
        <w:rPr>
          <w:rFonts w:hint="eastAsia" w:ascii="仿宋" w:hAnsi="仿宋" w:eastAsia="仿宋"/>
          <w:b w:val="0"/>
        </w:rPr>
        <w:t>政</w:t>
      </w:r>
      <w:r>
        <w:rPr>
          <w:rStyle w:val="30"/>
          <w:rFonts w:hint="eastAsia" w:ascii="仿宋" w:hAnsi="仿宋" w:eastAsia="仿宋"/>
          <w:b w:val="0"/>
          <w:bCs w:val="0"/>
        </w:rPr>
        <w:t>府性基金预算财政拨款收入支出决算表</w:t>
      </w:r>
    </w:p>
    <w:p w14:paraId="54E4C496">
      <w:pPr>
        <w:pStyle w:val="3"/>
        <w:ind w:firstLine="640" w:firstLineChars="200"/>
        <w:rPr>
          <w:rFonts w:ascii="仿宋" w:hAnsi="仿宋" w:eastAsia="仿宋"/>
        </w:rPr>
      </w:pPr>
      <w:r>
        <w:rPr>
          <w:rStyle w:val="30"/>
          <w:rFonts w:hint="eastAsia" w:ascii="仿宋" w:hAnsi="仿宋" w:eastAsia="仿宋"/>
          <w:b w:val="0"/>
          <w:bCs w:val="0"/>
        </w:rPr>
        <w:t>十一、</w:t>
      </w:r>
      <w:r>
        <w:rPr>
          <w:rFonts w:hint="eastAsia" w:ascii="仿宋" w:hAnsi="仿宋" w:eastAsia="仿宋"/>
          <w:b w:val="0"/>
        </w:rPr>
        <w:t>国</w:t>
      </w:r>
      <w:r>
        <w:rPr>
          <w:rStyle w:val="30"/>
          <w:rFonts w:hint="eastAsia" w:ascii="仿宋" w:hAnsi="仿宋" w:eastAsia="仿宋"/>
          <w:b w:val="0"/>
          <w:bCs w:val="0"/>
        </w:rPr>
        <w:t>有资本经营预算财政拨款收入支出决算表</w:t>
      </w:r>
    </w:p>
    <w:p w14:paraId="474878D2">
      <w:pPr>
        <w:pStyle w:val="3"/>
        <w:ind w:firstLine="640" w:firstLineChars="200"/>
        <w:rPr>
          <w:rFonts w:ascii="仿宋" w:hAnsi="仿宋" w:eastAsia="仿宋"/>
        </w:rPr>
      </w:pPr>
      <w:r>
        <w:rPr>
          <w:rStyle w:val="30"/>
          <w:rFonts w:hint="eastAsia" w:ascii="仿宋" w:hAnsi="仿宋" w:eastAsia="仿宋"/>
          <w:b w:val="0"/>
          <w:bCs w:val="0"/>
        </w:rPr>
        <w:t>十二、国有资本经营预算财政拨款支出决算表</w:t>
      </w:r>
    </w:p>
    <w:p w14:paraId="446E83A3">
      <w:pPr>
        <w:pStyle w:val="3"/>
        <w:ind w:firstLine="640" w:firstLineChars="200"/>
        <w:rPr>
          <w:rFonts w:ascii="仿宋" w:hAnsi="仿宋" w:eastAsia="仿宋"/>
        </w:rPr>
      </w:pPr>
      <w:r>
        <w:rPr>
          <w:rStyle w:val="30"/>
          <w:rFonts w:hint="eastAsia" w:ascii="仿宋" w:hAnsi="仿宋" w:eastAsia="仿宋"/>
          <w:b w:val="0"/>
          <w:bCs w:val="0"/>
        </w:rPr>
        <w:t>十三、财政拨款“三公”经费支出决算</w:t>
      </w:r>
      <w:r>
        <w:rPr>
          <w:rStyle w:val="30"/>
          <w:rFonts w:hint="eastAsia" w:ascii="仿宋" w:hAnsi="仿宋" w:eastAsia="仿宋"/>
          <w:b w:val="0"/>
          <w:bCs w:val="0"/>
          <w:lang w:val="en-US" w:eastAsia="zh-CN"/>
        </w:rPr>
        <w:t>表</w:t>
      </w:r>
      <w:bookmarkEnd w:id="57"/>
      <w:bookmarkEnd w:id="59"/>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4A3BEBF">
        <w:pPr>
          <w:pStyle w:val="10"/>
          <w:jc w:val="center"/>
        </w:pPr>
        <w:r>
          <w:fldChar w:fldCharType="begin"/>
        </w:r>
        <w:r>
          <w:instrText xml:space="preserve">PAGE   \* MERGEFORMAT</w:instrText>
        </w:r>
        <w:r>
          <w:fldChar w:fldCharType="separate"/>
        </w:r>
        <w:r>
          <w:rPr>
            <w:lang w:val="zh-CN"/>
          </w:rPr>
          <w:t>15</w:t>
        </w:r>
        <w:r>
          <w:fldChar w:fldCharType="end"/>
        </w:r>
      </w:p>
    </w:sdtContent>
  </w:sdt>
  <w:p w14:paraId="08BED131">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8A86C">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abstractNum w:abstractNumId="3">
    <w:nsid w:val="6889AADD"/>
    <w:multiLevelType w:val="singleLevel"/>
    <w:tmpl w:val="6889AADD"/>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D3D7AF0"/>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107E8A"/>
    <w:rsid w:val="29FD04D3"/>
    <w:rsid w:val="2ABE7A3E"/>
    <w:rsid w:val="2AFF09B6"/>
    <w:rsid w:val="2CA234A8"/>
    <w:rsid w:val="2EFA178C"/>
    <w:rsid w:val="2EFDF86C"/>
    <w:rsid w:val="2F9D17E1"/>
    <w:rsid w:val="30B46D73"/>
    <w:rsid w:val="319F7F4E"/>
    <w:rsid w:val="356A28F1"/>
    <w:rsid w:val="357C035A"/>
    <w:rsid w:val="368E000D"/>
    <w:rsid w:val="383D272C"/>
    <w:rsid w:val="39AE70AB"/>
    <w:rsid w:val="39B5625A"/>
    <w:rsid w:val="3A4DCE41"/>
    <w:rsid w:val="3AA37735"/>
    <w:rsid w:val="3BCB56FA"/>
    <w:rsid w:val="3C0C0783"/>
    <w:rsid w:val="3CA44911"/>
    <w:rsid w:val="3E9663D8"/>
    <w:rsid w:val="3EE7C2F4"/>
    <w:rsid w:val="3F371B56"/>
    <w:rsid w:val="3F792ED8"/>
    <w:rsid w:val="3F9F3A96"/>
    <w:rsid w:val="3FECA4B2"/>
    <w:rsid w:val="3FF58C48"/>
    <w:rsid w:val="42FF6694"/>
    <w:rsid w:val="48BF60AB"/>
    <w:rsid w:val="493C27E9"/>
    <w:rsid w:val="496F39ED"/>
    <w:rsid w:val="49FF41D3"/>
    <w:rsid w:val="4BE068DB"/>
    <w:rsid w:val="4BF6002B"/>
    <w:rsid w:val="4BFFC6BE"/>
    <w:rsid w:val="4C166EB7"/>
    <w:rsid w:val="4ECE2238"/>
    <w:rsid w:val="51DB4B86"/>
    <w:rsid w:val="51F64DB0"/>
    <w:rsid w:val="55333C3E"/>
    <w:rsid w:val="57CB6E0C"/>
    <w:rsid w:val="5E0374A7"/>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0755512"/>
    <w:rsid w:val="71BF4EC2"/>
    <w:rsid w:val="72734D90"/>
    <w:rsid w:val="730E628B"/>
    <w:rsid w:val="73E75B71"/>
    <w:rsid w:val="7412278C"/>
    <w:rsid w:val="75DDCDA9"/>
    <w:rsid w:val="75FF44B1"/>
    <w:rsid w:val="760353B5"/>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link w:val="26"/>
    <w:qFormat/>
    <w:uiPriority w:val="99"/>
    <w:pPr>
      <w:spacing w:beforeLines="30"/>
    </w:pPr>
    <w:rPr>
      <w:rFonts w:ascii="仿宋_GB2312" w:eastAsia="仿宋_GB2312"/>
      <w:kern w:val="0"/>
      <w:sz w:val="30"/>
    </w:rPr>
  </w:style>
  <w:style w:type="paragraph" w:styleId="6">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w:basedOn w:val="5"/>
    <w:next w:val="5"/>
    <w:qFormat/>
    <w:uiPriority w:val="0"/>
    <w:pPr>
      <w:ind w:firstLine="420" w:firstLineChars="100"/>
    </w:pPr>
  </w:style>
  <w:style w:type="paragraph" w:styleId="15">
    <w:name w:val="Body Text First Indent 2"/>
    <w:basedOn w:val="7"/>
    <w:next w:val="14"/>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2"/>
    <w:qFormat/>
    <w:uiPriority w:val="9"/>
    <w:rPr>
      <w:rFonts w:ascii="Times New Roman" w:hAnsi="Times New Roman"/>
      <w:b/>
      <w:bCs/>
      <w:kern w:val="44"/>
      <w:sz w:val="44"/>
      <w:szCs w:val="44"/>
    </w:rPr>
  </w:style>
  <w:style w:type="character" w:customStyle="1" w:styleId="30">
    <w:name w:val="标题 2 字符"/>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9"/>
    <w:semiHidden/>
    <w:qFormat/>
    <w:uiPriority w:val="99"/>
    <w:rPr>
      <w:rFonts w:ascii="Times New Roman" w:hAnsi="Times New Roman"/>
      <w:kern w:val="2"/>
      <w:sz w:val="18"/>
      <w:szCs w:val="18"/>
    </w:rPr>
  </w:style>
  <w:style w:type="character" w:customStyle="1" w:styleId="33">
    <w:name w:val="标题 3 字符"/>
    <w:basedOn w:val="17"/>
    <w:link w:val="4"/>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标题 1 Char"/>
    <w:basedOn w:val="17"/>
    <w:link w:val="2"/>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[工作簿1]Sheet1!$I$7:$I$8</c:f>
              <c:strCache>
                <c:ptCount val="2"/>
                <c:pt idx="0">
                  <c:v>2022年</c:v>
                </c:pt>
                <c:pt idx="1">
                  <c:v>2023年</c:v>
                </c:pt>
              </c:strCache>
            </c:strRef>
          </c:cat>
          <c:val>
            <c:numRef>
              <c:f>[工作簿1]Sheet1!$J$7:$J$8</c:f>
              <c:numCache>
                <c:formatCode>General</c:formatCode>
                <c:ptCount val="2"/>
                <c:pt idx="0">
                  <c:v>1932.09</c:v>
                </c:pt>
                <c:pt idx="1">
                  <c:v>1521.06</c:v>
                </c:pt>
              </c:numCache>
            </c:numRef>
          </c:val>
        </c:ser>
        <c:dLbls>
          <c:showLegendKey val="0"/>
          <c:showVal val="0"/>
          <c:showCatName val="0"/>
          <c:showSerName val="0"/>
          <c:showPercent val="0"/>
          <c:showBubbleSize val="0"/>
        </c:dLbls>
        <c:gapWidth val="246"/>
        <c:overlap val="-28"/>
        <c:axId val="867302497"/>
        <c:axId val="454297782"/>
      </c:barChart>
      <c:catAx>
        <c:axId val="8673024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4297782"/>
        <c:crosses val="autoZero"/>
        <c:auto val="1"/>
        <c:lblAlgn val="ctr"/>
        <c:lblOffset val="100"/>
        <c:noMultiLvlLbl val="0"/>
      </c:catAx>
      <c:valAx>
        <c:axId val="45429778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7302497"/>
        <c:crosses val="autoZero"/>
        <c:crossBetween val="between"/>
      </c:valAx>
      <c:spPr>
        <a:noFill/>
        <a:ln>
          <a:noFill/>
        </a:ln>
        <a:effectLst/>
      </c:spPr>
    </c:plotArea>
    <c:plotVisOnly val="1"/>
    <c:dispBlanksAs val="gap"/>
    <c:showDLblsOverMax val="0"/>
    <c:extLst>
      <c:ext uri="{0b15fc19-7d7d-44ad-8c2d-2c3a37ce22c3}">
        <chartProps xmlns="https://web.wps.cn/et/2018/main" chartId="{13a1878b-cae2-4bdf-9f68-82ee1c9ef92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[工作簿1]Sheet1!$I$16:$I$17</c:f>
              <c:strCache>
                <c:ptCount val="2"/>
                <c:pt idx="0">
                  <c:v>一般公共预算财政拨款收入</c:v>
                </c:pt>
                <c:pt idx="1">
                  <c:v>政府性基金预算财政拨款收入</c:v>
                </c:pt>
              </c:strCache>
            </c:strRef>
          </c:cat>
          <c:val>
            <c:numRef>
              <c:f>[工作簿1]Sheet1!$J$16:$J$17</c:f>
              <c:numCache>
                <c:formatCode>General</c:formatCode>
                <c:ptCount val="2"/>
                <c:pt idx="0">
                  <c:v>1323.06</c:v>
                </c:pt>
                <c:pt idx="1">
                  <c:v>198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7f57e53-41ca-4a48-b97b-7877bf85c7e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[工作簿1]Sheet1!$I$16:$I$17</c:f>
              <c:strCache>
                <c:ptCount val="2"/>
                <c:pt idx="0">
                  <c:v>基本支出</c:v>
                </c:pt>
                <c:pt idx="1">
                  <c:v>项目支出</c:v>
                </c:pt>
              </c:strCache>
            </c:strRef>
          </c:cat>
          <c:val>
            <c:numRef>
              <c:f>[工作簿1]Sheet1!$J$16:$J$17</c:f>
              <c:numCache>
                <c:formatCode>General</c:formatCode>
                <c:ptCount val="2"/>
                <c:pt idx="0">
                  <c:v>456.7</c:v>
                </c:pt>
                <c:pt idx="1">
                  <c:v>1064.36</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8161376b-310d-437d-8d6c-bb20a956689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[工作簿1]Sheet1!$I$7:$I$8</c:f>
              <c:strCache>
                <c:ptCount val="2"/>
                <c:pt idx="0">
                  <c:v>2022年</c:v>
                </c:pt>
                <c:pt idx="1">
                  <c:v>2023年</c:v>
                </c:pt>
              </c:strCache>
            </c:strRef>
          </c:cat>
          <c:val>
            <c:numRef>
              <c:f>[工作簿1]Sheet1!$J$7:$J$8</c:f>
              <c:numCache>
                <c:formatCode>General</c:formatCode>
                <c:ptCount val="2"/>
                <c:pt idx="0">
                  <c:v>1932.09</c:v>
                </c:pt>
                <c:pt idx="1">
                  <c:v>1521.06</c:v>
                </c:pt>
              </c:numCache>
            </c:numRef>
          </c:val>
        </c:ser>
        <c:dLbls>
          <c:showLegendKey val="0"/>
          <c:showVal val="0"/>
          <c:showCatName val="0"/>
          <c:showSerName val="0"/>
          <c:showPercent val="0"/>
          <c:showBubbleSize val="0"/>
        </c:dLbls>
        <c:gapWidth val="150"/>
        <c:overlap val="0"/>
        <c:axId val="206567207"/>
        <c:axId val="171081169"/>
      </c:barChart>
      <c:catAx>
        <c:axId val="2065672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1081169"/>
        <c:crosses val="autoZero"/>
        <c:auto val="1"/>
        <c:lblAlgn val="ctr"/>
        <c:lblOffset val="100"/>
        <c:noMultiLvlLbl val="0"/>
      </c:catAx>
      <c:valAx>
        <c:axId val="17108116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567207"/>
        <c:crosses val="autoZero"/>
        <c:crossBetween val="between"/>
      </c:valAx>
      <c:spPr>
        <a:noFill/>
        <a:ln>
          <a:noFill/>
        </a:ln>
        <a:effectLst/>
      </c:spPr>
    </c:plotArea>
    <c:plotVisOnly val="1"/>
    <c:dispBlanksAs val="gap"/>
    <c:showDLblsOverMax val="0"/>
    <c:extLst>
      <c:ext uri="{0b15fc19-7d7d-44ad-8c2d-2c3a37ce22c3}">
        <chartProps xmlns="https://web.wps.cn/et/2018/main" chartId="{014eca1d-c2bd-4c74-bc18-03e791e552c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[工作簿1]Sheet1!$I$7:$I$8</c:f>
              <c:strCache>
                <c:ptCount val="2"/>
                <c:pt idx="0">
                  <c:v>2022年</c:v>
                </c:pt>
                <c:pt idx="1">
                  <c:v>2023年</c:v>
                </c:pt>
              </c:strCache>
            </c:strRef>
          </c:cat>
          <c:val>
            <c:numRef>
              <c:f>[工作簿1]Sheet1!$J$7:$J$8</c:f>
              <c:numCache>
                <c:formatCode>General</c:formatCode>
                <c:ptCount val="2"/>
                <c:pt idx="0">
                  <c:v>1872.09</c:v>
                </c:pt>
                <c:pt idx="1">
                  <c:v>1323.06</c:v>
                </c:pt>
              </c:numCache>
            </c:numRef>
          </c:val>
        </c:ser>
        <c:dLbls>
          <c:showLegendKey val="0"/>
          <c:showVal val="0"/>
          <c:showCatName val="0"/>
          <c:showSerName val="0"/>
          <c:showPercent val="0"/>
          <c:showBubbleSize val="0"/>
        </c:dLbls>
        <c:gapWidth val="150"/>
        <c:overlap val="0"/>
        <c:axId val="206567207"/>
        <c:axId val="171081169"/>
      </c:barChart>
      <c:catAx>
        <c:axId val="2065672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1081169"/>
        <c:crosses val="autoZero"/>
        <c:auto val="1"/>
        <c:lblAlgn val="ctr"/>
        <c:lblOffset val="100"/>
        <c:noMultiLvlLbl val="0"/>
      </c:catAx>
      <c:valAx>
        <c:axId val="17108116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567207"/>
        <c:crosses val="autoZero"/>
        <c:crossBetween val="between"/>
      </c:valAx>
      <c:spPr>
        <a:noFill/>
        <a:ln>
          <a:noFill/>
        </a:ln>
        <a:effectLst/>
      </c:spPr>
    </c:plotArea>
    <c:plotVisOnly val="1"/>
    <c:dispBlanksAs val="gap"/>
    <c:showDLblsOverMax val="0"/>
    <c:extLst>
      <c:ext uri="{0b15fc19-7d7d-44ad-8c2d-2c3a37ce22c3}">
        <chartProps xmlns="https://web.wps.cn/et/2018/main" chartId="{d8330c78-25c5-4ce8-ac4a-3ac9993d584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elete val="1"/>
          </c:dLbls>
          <c:cat>
            <c:strRef>
              <c:f>[工作簿1]Sheet1!$I$16:$I$20</c:f>
              <c:strCache>
                <c:ptCount val="5"/>
                <c:pt idx="0">
                  <c:v>一般公共服务支出</c:v>
                </c:pt>
                <c:pt idx="1">
                  <c:v>文化旅游体育与传媒支出</c:v>
                </c:pt>
                <c:pt idx="2">
                  <c:v>社会保障和就业支出</c:v>
                </c:pt>
                <c:pt idx="3">
                  <c:v>卫生健康支出</c:v>
                </c:pt>
                <c:pt idx="4">
                  <c:v>住房保障支出</c:v>
                </c:pt>
              </c:strCache>
            </c:strRef>
          </c:cat>
          <c:val>
            <c:numRef>
              <c:f>[工作簿1]Sheet1!$J$16:$J$20</c:f>
              <c:numCache>
                <c:formatCode>General</c:formatCode>
                <c:ptCount val="5"/>
                <c:pt idx="0">
                  <c:v>1047.43</c:v>
                </c:pt>
                <c:pt idx="1">
                  <c:v>184.16</c:v>
                </c:pt>
                <c:pt idx="2">
                  <c:v>39.8</c:v>
                </c:pt>
                <c:pt idx="3">
                  <c:v>19.3</c:v>
                </c:pt>
                <c:pt idx="4">
                  <c:v>32.38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09b5639-bf88-460f-b5cd-d9265ac3481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[工作簿1]Sheet1!$M$16:$M$18</c:f>
              <c:strCache>
                <c:ptCount val="3"/>
                <c:pt idx="0">
                  <c:v>因公出国（境）费支出</c:v>
                </c:pt>
                <c:pt idx="1">
                  <c:v>公务用车购置及运行维护费支出</c:v>
                </c:pt>
                <c:pt idx="2">
                  <c:v>公务接待费支出</c:v>
                </c:pt>
              </c:strCache>
            </c:strRef>
          </c:cat>
          <c:val>
            <c:numRef>
              <c:f>[工作簿1]Sheet1!$N$16:$N$18</c:f>
              <c:numCache>
                <c:formatCode>General</c:formatCode>
                <c:ptCount val="3"/>
                <c:pt idx="0">
                  <c:v>0</c:v>
                </c:pt>
                <c:pt idx="1">
                  <c:v>0</c:v>
                </c:pt>
                <c:pt idx="2">
                  <c:v>1.01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df31b15-a781-4e6d-9c48-fcfcaf96a63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45</Pages>
  <Words>13348</Words>
  <Characters>14117</Characters>
  <Lines>54</Lines>
  <Paragraphs>15</Paragraphs>
  <TotalTime>14</TotalTime>
  <ScaleCrop>false</ScaleCrop>
  <LinksUpToDate>false</LinksUpToDate>
  <CharactersWithSpaces>14151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唐甘</cp:lastModifiedBy>
  <cp:lastPrinted>2023-08-03T02:35:00Z</cp:lastPrinted>
  <dcterms:modified xsi:type="dcterms:W3CDTF">2024-11-14T06:55:20Z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AB64790A3D9C4BFD982376A3690BE6E5_12</vt:lpwstr>
  </property>
</Properties>
</file>