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版本号：N511902202500001420250228001</w:t>
      </w:r>
    </w:p>
    <w:p>
      <w:pPr>
        <w:pStyle w:val="null3"/>
        <w:jc w:val="left"/>
        <w:outlineLvl w:val="0"/>
      </w:pPr>
      <w:r>
        <w:rPr>
          <w:rFonts w:ascii="仿宋_GB2312" w:hAnsi="仿宋_GB2312" w:cs="仿宋_GB2312" w:eastAsia="仿宋_GB2312"/>
          <w:sz w:val="48"/>
          <w:b/>
        </w:rPr>
        <w:t>询 价 通 知 书</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巴州区第三小学校采购触控一体机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N5119022025000014</w:t>
      </w:r>
    </w:p>
    <w:p>
      <w:pPr>
        <w:pStyle w:val="null3"/>
        <w:jc w:val="left"/>
        <w:outlineLvl w:val="2"/>
      </w:pPr>
      <w:r>
        <w:rPr>
          <w:rFonts w:ascii="仿宋_GB2312" w:hAnsi="仿宋_GB2312" w:cs="仿宋_GB2312" w:eastAsia="仿宋_GB2312"/>
          <w:sz w:val="28"/>
          <w:b/>
        </w:rPr>
        <w:t>巴中市巴州区第三小学校</w:t>
      </w:r>
    </w:p>
    <w:p>
      <w:pPr>
        <w:pStyle w:val="null3"/>
        <w:jc w:val="center"/>
        <w:outlineLvl w:val="2"/>
      </w:pPr>
      <w:r>
        <w:rPr>
          <w:rFonts w:ascii="仿宋_GB2312" w:hAnsi="仿宋_GB2312" w:cs="仿宋_GB2312" w:eastAsia="仿宋_GB2312"/>
          <w:sz w:val="28"/>
          <w:b/>
        </w:rPr>
        <w:t>巴中市巴州区政府采购中心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询价邀请</w:t>
      </w:r>
    </w:p>
    <w:p>
      <w:pPr>
        <w:pStyle w:val="null3"/>
        <w:ind w:firstLine="480"/>
        <w:jc w:val="left"/>
      </w:pPr>
      <w:r>
        <w:rPr>
          <w:rFonts w:ascii="仿宋_GB2312" w:hAnsi="仿宋_GB2312" w:cs="仿宋_GB2312" w:eastAsia="仿宋_GB2312"/>
        </w:rPr>
        <w:t>巴中市巴州区政府采购中心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巴中市巴州区第三小学校</w:t>
      </w:r>
      <w:r>
        <w:rPr>
          <w:rFonts w:ascii="仿宋_GB2312" w:hAnsi="仿宋_GB2312" w:cs="仿宋_GB2312" w:eastAsia="仿宋_GB2312"/>
        </w:rPr>
        <w:t xml:space="preserve"> 委托，拟对 </w:t>
      </w:r>
      <w:r>
        <w:rPr>
          <w:rFonts w:ascii="仿宋_GB2312" w:hAnsi="仿宋_GB2312" w:cs="仿宋_GB2312" w:eastAsia="仿宋_GB2312"/>
        </w:rPr>
        <w:t>巴州区第三小学校采购触控一体机</w:t>
      </w:r>
      <w:r>
        <w:rPr>
          <w:rFonts w:ascii="仿宋_GB2312" w:hAnsi="仿宋_GB2312" w:cs="仿宋_GB2312" w:eastAsia="仿宋_GB2312"/>
        </w:rPr>
        <w:t xml:space="preserve"> 采用询价方式进行采购，兹邀请符合资格条件的供应商参加询价。本项目为四川省</w:t>
      </w:r>
      <w:r>
        <w:rPr>
          <w:rFonts w:ascii="仿宋_GB2312" w:hAnsi="仿宋_GB2312" w:cs="仿宋_GB2312" w:eastAsia="仿宋_GB2312"/>
        </w:rPr>
        <w:t>巴中市巴州区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N5119022025000014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巴州区第三小学校采购触控一体机</w:t>
      </w:r>
    </w:p>
    <w:p>
      <w:pPr>
        <w:pStyle w:val="null3"/>
        <w:jc w:val="left"/>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巴中市第三小小学校需采购教学智慧黑板，用于提升教学质量，现公开选取成交供应商一名，完成本项目的货物供应及安装后期售后服务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本项目以发布公告的方式邀请供应商参加询价。公告在四川政府采购网（www.ccgp-sichuan.gov.cn）发布。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询价通知书，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1.7.询价通知书获取时间、方式及地址</w:t>
      </w:r>
    </w:p>
    <w:p>
      <w:pPr>
        <w:pStyle w:val="null3"/>
        <w:ind w:firstLine="480"/>
        <w:jc w:val="left"/>
      </w:pPr>
      <w:r>
        <w:rPr>
          <w:rFonts w:ascii="仿宋_GB2312" w:hAnsi="仿宋_GB2312" w:cs="仿宋_GB2312" w:eastAsia="仿宋_GB2312"/>
        </w:rPr>
        <w:t xml:space="preserve">一、询价通知书获取时间：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询价通知书获取时间开始前，将本项目电子询价通知书上传至交易系统，向供应商免费提供，供应商通过交易系统获取询价通知书。供应商成功获取询价通知书后，将收到已获取询价通知书的回执单。未按规定获取询价通知书的供应商，不得参与本次采购活动，不得对询价通知书提起质疑。</w:t>
      </w:r>
    </w:p>
    <w:p>
      <w:pPr>
        <w:pStyle w:val="null3"/>
        <w:ind w:firstLine="480"/>
        <w:jc w:val="left"/>
      </w:pPr>
      <w:r>
        <w:rPr>
          <w:rFonts w:ascii="仿宋_GB2312" w:hAnsi="仿宋_GB2312" w:cs="仿宋_GB2312" w:eastAsia="仿宋_GB2312"/>
        </w:rPr>
        <w:t>注：获取的询价通知书由正文和附件组成，正文部分包括pdf、word两种格式版本，如内容有不一致的，以pdf格式内容为准。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一、响应文件提交截止时间及开启时间：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巴中市巴州区第三小学校</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巴州区南池北路一号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13608241866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巴中市巴州区政府采购中心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四川省巴中市巴州区广场街67号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636600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文件编制股（0827-8668879）</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交易组织股（0827-8668810）、现场监督股（0827-8668812）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采购包1：384,000.00元</w:t>
            </w:r>
          </w:p>
          <w:p>
            <w:pPr>
              <w:pStyle w:val="null3"/>
              <w:jc w:val="left"/>
            </w:pPr>
            <w:r>
              <w:rPr>
                <w:rFonts w:ascii="仿宋_GB2312" w:hAnsi="仿宋_GB2312" w:cs="仿宋_GB2312" w:eastAsia="仿宋_GB2312"/>
              </w:rPr>
              <w:t xml:space="preserve"> 供应商报价不得超过询价通知书中规定的预算金额，采购人可以在采购预算内合理设定最高限价，供应商报价不得超过最高限价，最高限价详见第三章。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最低评标价法（具体规则详见第四章）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 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本询价通知书中“★”要求为实质性要求。供应商应当按照第四章评审程序中的符合性审查规定，在响应文件中进行实质性响应，否则作无效响应处理。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本询价通知书所称的“以上”、“以下”、“内”、“以内”、“不少于”包括本数；所称的“不足”、“低于”、“超过”不包括本数。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一、本询价通知书仅适用于本次询价采购项目。</w:t>
      </w:r>
    </w:p>
    <w:p>
      <w:pPr>
        <w:pStyle w:val="null3"/>
        <w:ind w:firstLine="480"/>
        <w:jc w:val="left"/>
      </w:pPr>
      <w:r>
        <w:rPr>
          <w:rFonts w:ascii="仿宋_GB2312" w:hAnsi="仿宋_GB2312" w:cs="仿宋_GB2312" w:eastAsia="仿宋_GB2312"/>
        </w:rPr>
        <w:t xml:space="preserve">二、本询价通知书由 </w:t>
      </w:r>
      <w:r>
        <w:rPr>
          <w:rFonts w:ascii="仿宋_GB2312" w:hAnsi="仿宋_GB2312" w:cs="仿宋_GB2312" w:eastAsia="仿宋_GB2312"/>
        </w:rPr>
        <w:t>巴中市巴州区第三小学校</w:t>
      </w:r>
      <w:r>
        <w:rPr>
          <w:rFonts w:ascii="仿宋_GB2312" w:hAnsi="仿宋_GB2312" w:cs="仿宋_GB2312" w:eastAsia="仿宋_GB2312"/>
        </w:rPr>
        <w:t xml:space="preserve"> 和 </w:t>
      </w:r>
      <w:r>
        <w:rPr>
          <w:rFonts w:ascii="仿宋_GB2312" w:hAnsi="仿宋_GB2312" w:cs="仿宋_GB2312" w:eastAsia="仿宋_GB2312"/>
        </w:rPr>
        <w:t>巴中市巴州区政府采购中心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 “采购人”是指依法进行政府采购的国家机关、事业单位、团体组织。本次询价采购项目的采购人是 </w:t>
      </w:r>
      <w:r>
        <w:rPr>
          <w:rFonts w:ascii="仿宋_GB2312" w:hAnsi="仿宋_GB2312" w:cs="仿宋_GB2312" w:eastAsia="仿宋_GB2312"/>
        </w:rPr>
        <w:t>巴中市巴州区第三小学校</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规定获取询价通知书，参加采购活动的法人、其他组织或者自然人。</w:t>
      </w:r>
    </w:p>
    <w:p>
      <w:pPr>
        <w:pStyle w:val="null3"/>
        <w:ind w:firstLine="480"/>
        <w:jc w:val="left"/>
      </w:pPr>
      <w:r>
        <w:rPr>
          <w:rFonts w:ascii="仿宋_GB2312" w:hAnsi="仿宋_GB2312" w:cs="仿宋_GB2312" w:eastAsia="仿宋_GB2312"/>
        </w:rPr>
        <w:t xml:space="preserve">三、 “代理机构”是指集中采购机构和从事采购代理业务的社会中介机构。本项目的代理机构是 </w:t>
      </w:r>
      <w:r>
        <w:rPr>
          <w:rFonts w:ascii="仿宋_GB2312" w:hAnsi="仿宋_GB2312" w:cs="仿宋_GB2312" w:eastAsia="仿宋_GB2312"/>
        </w:rPr>
        <w:t>巴中市巴州区政府采购中心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五、“电子评审”是指询价小组开展资格审查、符合性审查、一次性报价、推荐成交候选供应商、出具询价报告等活动。</w:t>
      </w:r>
    </w:p>
    <w:p>
      <w:pPr>
        <w:pStyle w:val="null3"/>
        <w:jc w:val="left"/>
        <w:outlineLvl w:val="2"/>
      </w:pPr>
      <w:r>
        <w:rPr>
          <w:rFonts w:ascii="仿宋_GB2312" w:hAnsi="仿宋_GB2312" w:cs="仿宋_GB2312" w:eastAsia="仿宋_GB2312"/>
          <w:sz w:val="28"/>
          <w:b/>
        </w:rPr>
        <w:t>2.3.询价通知书</w:t>
      </w:r>
    </w:p>
    <w:p>
      <w:pPr>
        <w:pStyle w:val="null3"/>
        <w:jc w:val="left"/>
        <w:outlineLvl w:val="3"/>
      </w:pPr>
      <w:r>
        <w:rPr>
          <w:rFonts w:ascii="仿宋_GB2312" w:hAnsi="仿宋_GB2312" w:cs="仿宋_GB2312" w:eastAsia="仿宋_GB2312"/>
          <w:sz w:val="24"/>
          <w:b/>
        </w:rPr>
        <w:t>2.3.1.询价通知书的构成</w:t>
      </w:r>
    </w:p>
    <w:p>
      <w:pPr>
        <w:pStyle w:val="null3"/>
        <w:ind w:firstLine="480"/>
        <w:jc w:val="left"/>
      </w:pPr>
      <w:r>
        <w:rPr>
          <w:rFonts w:ascii="仿宋_GB2312" w:hAnsi="仿宋_GB2312" w:cs="仿宋_GB2312" w:eastAsia="仿宋_GB2312"/>
        </w:rPr>
        <w:t>询价通知书由采购人、代理机构编制，是项目采购活动开展的基本依据，主要包括以下内容：</w:t>
      </w:r>
    </w:p>
    <w:p>
      <w:pPr>
        <w:pStyle w:val="null3"/>
        <w:ind w:firstLine="480"/>
        <w:jc w:val="left"/>
      </w:pPr>
      <w:r>
        <w:rPr>
          <w:rFonts w:ascii="仿宋_GB2312" w:hAnsi="仿宋_GB2312" w:cs="仿宋_GB2312" w:eastAsia="仿宋_GB2312"/>
        </w:rPr>
        <w:t>一、询价邀请；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四、评审办法；</w:t>
      </w:r>
    </w:p>
    <w:p>
      <w:pPr>
        <w:pStyle w:val="null3"/>
        <w:ind w:firstLine="480"/>
        <w:jc w:val="left"/>
      </w:pPr>
      <w:r>
        <w:rPr>
          <w:rFonts w:ascii="仿宋_GB2312" w:hAnsi="仿宋_GB2312" w:cs="仿宋_GB2312" w:eastAsia="仿宋_GB2312"/>
        </w:rPr>
        <w:t>五、响应文件格式；</w:t>
      </w:r>
    </w:p>
    <w:p>
      <w:pPr>
        <w:pStyle w:val="null3"/>
        <w:ind w:firstLine="480"/>
        <w:jc w:val="left"/>
      </w:pPr>
      <w:r>
        <w:rPr>
          <w:rFonts w:ascii="仿宋_GB2312" w:hAnsi="仿宋_GB2312" w:cs="仿宋_GB2312" w:eastAsia="仿宋_GB2312"/>
        </w:rPr>
        <w:t>六、拟签订采购合同文本。</w:t>
      </w:r>
    </w:p>
    <w:p>
      <w:pPr>
        <w:pStyle w:val="null3"/>
        <w:jc w:val="left"/>
        <w:outlineLvl w:val="3"/>
      </w:pPr>
      <w:r>
        <w:rPr>
          <w:rFonts w:ascii="仿宋_GB2312" w:hAnsi="仿宋_GB2312" w:cs="仿宋_GB2312" w:eastAsia="仿宋_GB2312"/>
          <w:sz w:val="24"/>
          <w:b/>
        </w:rPr>
        <w:t>2.3.2.询价通知书的澄清和修改</w:t>
      </w:r>
    </w:p>
    <w:p>
      <w:pPr>
        <w:pStyle w:val="null3"/>
        <w:ind w:firstLine="480"/>
        <w:jc w:val="left"/>
      </w:pPr>
      <w:r>
        <w:rPr>
          <w:rFonts w:ascii="仿宋_GB2312" w:hAnsi="仿宋_GB2312" w:cs="仿宋_GB2312" w:eastAsia="仿宋_GB2312"/>
        </w:rPr>
        <w:t>一、提交响应文件截止之日前，采购人或者代理机构可以对已发出的询价通知书进行必要的澄清或者修改。</w:t>
      </w:r>
    </w:p>
    <w:p>
      <w:pPr>
        <w:pStyle w:val="null3"/>
        <w:ind w:firstLine="480"/>
        <w:jc w:val="left"/>
      </w:pPr>
      <w:r>
        <w:rPr>
          <w:rFonts w:ascii="仿宋_GB2312" w:hAnsi="仿宋_GB2312" w:cs="仿宋_GB2312" w:eastAsia="仿宋_GB2312"/>
        </w:rPr>
        <w:t>二、澄清或者修改的内容为询价通知书的组成部分，采购人或者代理机构将在四川政府采购网发布更正公告，并将更正后的询价通知书上传至交易系统。更正内容可能影响响应文件编制的，采购人或者代理机构应当在响应截止之日3个工作日前，通过交易系统向已获取询价通知书的供应商发送更正信息，不足3个工作日的，应当顺延提交响应文件截止之日。</w:t>
      </w:r>
    </w:p>
    <w:p>
      <w:pPr>
        <w:pStyle w:val="null3"/>
        <w:jc w:val="left"/>
      </w:pPr>
      <w:r>
        <w:rPr>
          <w:rFonts w:ascii="仿宋_GB2312" w:hAnsi="仿宋_GB2312" w:cs="仿宋_GB2312" w:eastAsia="仿宋_GB2312"/>
        </w:rPr>
        <w:t>三、供应商根据更正公告、更正信息要求下载更正后的询价文件通知书，进行响应文件编制。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询价小组在询价过程中的所有来往书面文件原则上使用中文。响应文件中如附有外文资料，要对应翻译成中文并附在相关外文资料后面，未翻译的外文资料，询价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除询价通知书中另有规定外，本项目均采用国家法定的计量单位。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按照询价通知书第四章评审办法规定进行价格修正的，修正后的报价经供应商加盖电子印章确认后产生约束力。未在规定时间内确认的，视同供应商不确认，作无效响应处理。</w:t>
      </w:r>
    </w:p>
    <w:p>
      <w:pPr>
        <w:pStyle w:val="null3"/>
        <w:ind w:firstLine="480"/>
        <w:jc w:val="left"/>
      </w:pPr>
      <w:r>
        <w:rPr>
          <w:rFonts w:ascii="仿宋_GB2312" w:hAnsi="仿宋_GB2312" w:cs="仿宋_GB2312" w:eastAsia="仿宋_GB2312"/>
        </w:rPr>
        <w:t>供应商报价低于采购预算50% 或者低于其他有效供应商报价算术平均价40%，有可能影响产品质量或者不能诚信履约的，询价小组应当要求其在合理的时间内通过交易系统进行书面说明、提交相关证明材料，并加盖电子印章。供应商拒绝或者变相拒绝提供有效书面说明或者书面说明不能证明其报价合理性的，询价小组应当将其响应文件作为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一、供应商应当按照询价通知书规定编制响应文件，询价通知书第五章对响应文件格式有要求的，按照格式要求编制响应文件，没有格式要求的，由供应商自行编写。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询价通知书要求的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未按询价通知书和采购平台操作规范编制、确认、加密、盖章和提交的响应文件，将被拒绝接收。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提交响应文件截止时间后，成功提交响应文件的供应商符合询价通知书规定数量的，代理机构将启动响应文件解密程序，解密时间为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pPr>
      <w:r>
        <w:rPr>
          <w:rFonts w:ascii="仿宋_GB2312" w:hAnsi="仿宋_GB2312" w:cs="仿宋_GB2312" w:eastAsia="仿宋_GB2312"/>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详见询价通知书第四章。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一、采购人或者询价小组确认成交供应商后，代理机构在四川政府采购网发布成交结果公告、通过交易系统发出成交通知书，成交供应商通过交易系统获取成交通知书。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二、采购人和成交供应商签订的书面合同不得对询价通知书确定的事项以及成交供应商的响应文件作实质性修改，采购人不得向成交供应商提出任何不合理的要求作为签订合同的条件。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4"/>
      </w:pPr>
      <w:r>
        <w:rPr>
          <w:rFonts w:ascii="仿宋_GB2312" w:hAnsi="仿宋_GB2312" w:cs="仿宋_GB2312" w:eastAsia="仿宋_GB2312"/>
          <w:sz w:val="20"/>
          <w:b/>
        </w:rPr>
        <w:t>2.6.3.1.合同分包</w:t>
      </w:r>
    </w:p>
    <w:p>
      <w:pPr>
        <w:pStyle w:val="null3"/>
        <w:jc w:val="left"/>
      </w:pPr>
      <w:r>
        <w:rPr>
          <w:rFonts w:ascii="仿宋_GB2312" w:hAnsi="仿宋_GB2312" w:cs="仿宋_GB2312" w:eastAsia="仿宋_GB2312"/>
        </w:rPr>
        <w:t>本项目不允许合同分包。</w:t>
      </w:r>
    </w:p>
    <w:p>
      <w:pPr>
        <w:pStyle w:val="null3"/>
        <w:jc w:val="left"/>
        <w:outlineLvl w:val="4"/>
      </w:pPr>
      <w:r>
        <w:rPr>
          <w:rFonts w:ascii="仿宋_GB2312" w:hAnsi="仿宋_GB2312" w:cs="仿宋_GB2312" w:eastAsia="仿宋_GB2312"/>
          <w:sz w:val="20"/>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20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采购方组织，供应商配合</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按询价文件及中标供应商的技术服务响应文件、合同内容、验收清单；</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按询价文件及中标供应商的技术服务响应文件、合同内容、验收清单；</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供应商参加询价不得有下列情形：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六、向采购人或者代理机构、询价小组成员行贿或者提供其他不正当利益；</w:t>
      </w:r>
    </w:p>
    <w:p>
      <w:pPr>
        <w:pStyle w:val="null3"/>
        <w:ind w:firstLine="480"/>
        <w:jc w:val="left"/>
      </w:pPr>
      <w:r>
        <w:rPr>
          <w:rFonts w:ascii="仿宋_GB2312" w:hAnsi="仿宋_GB2312" w:cs="仿宋_GB2312" w:eastAsia="仿宋_GB2312"/>
        </w:rPr>
        <w:t>七、在询价过程中与采购人或者代理机构进行协商谈判；</w:t>
      </w:r>
    </w:p>
    <w:p>
      <w:pPr>
        <w:pStyle w:val="null3"/>
        <w:ind w:firstLine="480"/>
        <w:jc w:val="left"/>
      </w:pPr>
      <w:r>
        <w:rPr>
          <w:rFonts w:ascii="仿宋_GB2312" w:hAnsi="仿宋_GB2312" w:cs="仿宋_GB2312" w:eastAsia="仿宋_GB2312"/>
        </w:rPr>
        <w:t>八、成交后无正当理由拒不与采购人签订政府采购合同；</w:t>
      </w:r>
    </w:p>
    <w:p>
      <w:pPr>
        <w:pStyle w:val="null3"/>
        <w:ind w:firstLine="480"/>
        <w:jc w:val="left"/>
      </w:pPr>
      <w:r>
        <w:rPr>
          <w:rFonts w:ascii="仿宋_GB2312" w:hAnsi="仿宋_GB2312" w:cs="仿宋_GB2312" w:eastAsia="仿宋_GB2312"/>
        </w:rPr>
        <w:t>九、未按照询价通知书确定的事项签订政府采购合同；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供应商有前述一至七条情形之一的，作无效响应处理。成交供应商有前述一至七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根据委托代理协议约定，供应商对询价通知书中采购需求的询问、质疑由 </w:t>
      </w:r>
      <w:r>
        <w:rPr>
          <w:rFonts w:ascii="仿宋_GB2312" w:hAnsi="仿宋_GB2312" w:cs="仿宋_GB2312" w:eastAsia="仿宋_GB2312"/>
        </w:rPr>
        <w:t>巴中市巴州区第三小学校</w:t>
      </w:r>
      <w:r>
        <w:rPr>
          <w:rFonts w:ascii="仿宋_GB2312" w:hAnsi="仿宋_GB2312" w:cs="仿宋_GB2312" w:eastAsia="仿宋_GB2312"/>
        </w:rPr>
        <w:t xml:space="preserve"> 负责答复；供应商对除采购需求外的询价通知书的询问、质疑由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巴中市巴州区政府采购中心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联系人：马老师</w:t>
      </w:r>
    </w:p>
    <w:p>
      <w:pPr>
        <w:pStyle w:val="null3"/>
        <w:jc w:val="left"/>
      </w:pPr>
      <w:r>
        <w:rPr>
          <w:rFonts w:ascii="仿宋_GB2312" w:hAnsi="仿宋_GB2312" w:cs="仿宋_GB2312" w:eastAsia="仿宋_GB2312"/>
        </w:rPr>
        <w:t>联系电话：13608241866</w:t>
      </w:r>
    </w:p>
    <w:p>
      <w:pPr>
        <w:pStyle w:val="null3"/>
        <w:jc w:val="left"/>
      </w:pPr>
      <w:r>
        <w:rPr>
          <w:rFonts w:ascii="仿宋_GB2312" w:hAnsi="仿宋_GB2312" w:cs="仿宋_GB2312" w:eastAsia="仿宋_GB2312"/>
        </w:rPr>
        <w:t>地址：巴州区南池北路一号</w:t>
      </w:r>
    </w:p>
    <w:p>
      <w:pPr>
        <w:pStyle w:val="null3"/>
        <w:jc w:val="left"/>
      </w:pPr>
      <w:r>
        <w:rPr>
          <w:rFonts w:ascii="仿宋_GB2312" w:hAnsi="仿宋_GB2312" w:cs="仿宋_GB2312" w:eastAsia="仿宋_GB2312"/>
        </w:rPr>
        <w:t>邮编：636000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联系人：现场监督股</w:t>
      </w:r>
    </w:p>
    <w:p>
      <w:pPr>
        <w:pStyle w:val="null3"/>
        <w:jc w:val="left"/>
      </w:pPr>
      <w:r>
        <w:rPr>
          <w:rFonts w:ascii="仿宋_GB2312" w:hAnsi="仿宋_GB2312" w:cs="仿宋_GB2312" w:eastAsia="仿宋_GB2312"/>
        </w:rPr>
        <w:t>联系电话：0827-8668812</w:t>
      </w:r>
    </w:p>
    <w:p>
      <w:pPr>
        <w:pStyle w:val="null3"/>
        <w:jc w:val="left"/>
      </w:pPr>
      <w:r>
        <w:rPr>
          <w:rFonts w:ascii="仿宋_GB2312" w:hAnsi="仿宋_GB2312" w:cs="仿宋_GB2312" w:eastAsia="仿宋_GB2312"/>
        </w:rPr>
        <w:t>地址：巴中市巴州区广场街67号</w:t>
      </w:r>
    </w:p>
    <w:p>
      <w:pPr>
        <w:pStyle w:val="null3"/>
        <w:jc w:val="left"/>
      </w:pPr>
      <w:r>
        <w:rPr>
          <w:rFonts w:ascii="仿宋_GB2312" w:hAnsi="仿宋_GB2312" w:cs="仿宋_GB2312" w:eastAsia="仿宋_GB2312"/>
        </w:rPr>
        <w:t>邮编：636000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询价通知书、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（一）对可以质疑的询价通知书提出质疑的，为收到询价通知书之日或者询价通知书公告期限届满之日；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（五）针对质疑事项必要的证明材料（针对询价通知书提出的质疑，需提交从交易系统获取的询价通知书回执单）。</w:t>
      </w:r>
    </w:p>
    <w:p>
      <w:pPr>
        <w:pStyle w:val="null3"/>
        <w:ind w:firstLine="480"/>
        <w:jc w:val="left"/>
      </w:pPr>
      <w:r>
        <w:rPr>
          <w:rFonts w:ascii="仿宋_GB2312" w:hAnsi="仿宋_GB2312" w:cs="仿宋_GB2312" w:eastAsia="仿宋_GB2312"/>
        </w:rPr>
        <w:t>注：根据《中华人民共和国政府采购法》的规定，供应商质疑不得超出询价通知书、采购过程、采购结果的范围。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采购人或者代理机构应当在询价通知书中明确线下样品评审规则和方式，不得对供应商实行差别待遇或者歧视性待遇。样品评审应当全过程录音录像，形成书面评审记录上传至交易系统。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（注:本章的技术、服务及其他要求中，带“★”的要求为实质性要求。采购人、代理机构应当根据项目实际要求合理设定，并在第四章符合性审查中明确响应要求。）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384,000.00</w:t>
      </w:r>
    </w:p>
    <w:p>
      <w:pPr>
        <w:pStyle w:val="null3"/>
        <w:jc w:val="left"/>
      </w:pPr>
      <w:r>
        <w:rPr>
          <w:rFonts w:ascii="仿宋_GB2312" w:hAnsi="仿宋_GB2312" w:cs="仿宋_GB2312" w:eastAsia="仿宋_GB2312"/>
        </w:rPr>
        <w:t>采购包最高限价（元）: 384,000.00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A02020800 触控一体机</w:t>
            </w:r>
          </w:p>
        </w:tc>
        <w:tc>
          <w:tcPr>
            <w:tcW w:type="dxa" w:w="821"/>
          </w:tcPr>
          <w:p>
            <w:pPr>
              <w:pStyle w:val="null3"/>
              <w:jc w:val="left"/>
            </w:pPr>
            <w:r>
              <w:rPr>
                <w:rFonts w:ascii="仿宋_GB2312" w:hAnsi="仿宋_GB2312" w:cs="仿宋_GB2312" w:eastAsia="仿宋_GB2312"/>
              </w:rPr>
              <w:t>智慧黑板</w:t>
            </w:r>
          </w:p>
        </w:tc>
        <w:tc>
          <w:tcPr>
            <w:tcW w:type="dxa" w:w="821"/>
          </w:tcPr>
          <w:p>
            <w:pPr>
              <w:pStyle w:val="null3"/>
              <w:jc w:val="right"/>
            </w:pPr>
            <w:r>
              <w:rPr>
                <w:rFonts w:ascii="仿宋_GB2312" w:hAnsi="仿宋_GB2312" w:cs="仿宋_GB2312" w:eastAsia="仿宋_GB2312"/>
              </w:rPr>
              <w:t>12.00（台）</w:t>
            </w:r>
          </w:p>
        </w:tc>
        <w:tc>
          <w:tcPr>
            <w:tcW w:type="dxa" w:w="821"/>
          </w:tcPr>
          <w:p>
            <w:pPr>
              <w:pStyle w:val="null3"/>
              <w:jc w:val="right"/>
            </w:pPr>
            <w:r>
              <w:rPr>
                <w:rFonts w:ascii="仿宋_GB2312" w:hAnsi="仿宋_GB2312" w:cs="仿宋_GB2312" w:eastAsia="仿宋_GB2312"/>
              </w:rPr>
              <w:t>347,280.00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A02020800 触控一体机</w:t>
            </w:r>
          </w:p>
        </w:tc>
        <w:tc>
          <w:tcPr>
            <w:tcW w:type="dxa" w:w="821"/>
          </w:tcPr>
          <w:p>
            <w:pPr>
              <w:pStyle w:val="null3"/>
              <w:jc w:val="left"/>
            </w:pPr>
            <w:r>
              <w:rPr>
                <w:rFonts w:ascii="仿宋_GB2312" w:hAnsi="仿宋_GB2312" w:cs="仿宋_GB2312" w:eastAsia="仿宋_GB2312"/>
              </w:rPr>
              <w:t>互动教学软件</w:t>
            </w:r>
          </w:p>
        </w:tc>
        <w:tc>
          <w:tcPr>
            <w:tcW w:type="dxa" w:w="821"/>
          </w:tcPr>
          <w:p>
            <w:pPr>
              <w:pStyle w:val="null3"/>
              <w:jc w:val="right"/>
            </w:pPr>
            <w:r>
              <w:rPr>
                <w:rFonts w:ascii="仿宋_GB2312" w:hAnsi="仿宋_GB2312" w:cs="仿宋_GB2312" w:eastAsia="仿宋_GB2312"/>
              </w:rPr>
              <w:t>12.00（套）</w:t>
            </w:r>
          </w:p>
        </w:tc>
        <w:tc>
          <w:tcPr>
            <w:tcW w:type="dxa" w:w="821"/>
          </w:tcPr>
          <w:p>
            <w:pPr>
              <w:pStyle w:val="null3"/>
              <w:jc w:val="right"/>
            </w:pPr>
            <w:r>
              <w:rPr>
                <w:rFonts w:ascii="仿宋_GB2312" w:hAnsi="仿宋_GB2312" w:cs="仿宋_GB2312" w:eastAsia="仿宋_GB2312"/>
              </w:rPr>
              <w:t>24,960.00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A02020800 触控一体机</w:t>
            </w:r>
          </w:p>
        </w:tc>
        <w:tc>
          <w:tcPr>
            <w:tcW w:type="dxa" w:w="821"/>
          </w:tcPr>
          <w:p>
            <w:pPr>
              <w:pStyle w:val="null3"/>
              <w:jc w:val="left"/>
            </w:pPr>
            <w:r>
              <w:rPr>
                <w:rFonts w:ascii="仿宋_GB2312" w:hAnsi="仿宋_GB2312" w:cs="仿宋_GB2312" w:eastAsia="仿宋_GB2312"/>
              </w:rPr>
              <w:t>视频展台</w:t>
            </w:r>
          </w:p>
        </w:tc>
        <w:tc>
          <w:tcPr>
            <w:tcW w:type="dxa" w:w="821"/>
          </w:tcPr>
          <w:p>
            <w:pPr>
              <w:pStyle w:val="null3"/>
              <w:jc w:val="right"/>
            </w:pPr>
            <w:r>
              <w:rPr>
                <w:rFonts w:ascii="仿宋_GB2312" w:hAnsi="仿宋_GB2312" w:cs="仿宋_GB2312" w:eastAsia="仿宋_GB2312"/>
              </w:rPr>
              <w:t>12.00（台）</w:t>
            </w:r>
          </w:p>
        </w:tc>
        <w:tc>
          <w:tcPr>
            <w:tcW w:type="dxa" w:w="821"/>
          </w:tcPr>
          <w:p>
            <w:pPr>
              <w:pStyle w:val="null3"/>
              <w:jc w:val="right"/>
            </w:pPr>
            <w:r>
              <w:rPr>
                <w:rFonts w:ascii="仿宋_GB2312" w:hAnsi="仿宋_GB2312" w:cs="仿宋_GB2312" w:eastAsia="仿宋_GB2312"/>
              </w:rPr>
              <w:t>11,760.00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智慧黑板</w:t>
            </w:r>
          </w:p>
        </w:tc>
        <w:tc>
          <w:tcPr>
            <w:tcW w:type="dxa" w:w="1138"/>
          </w:tcPr>
          <w:p>
            <w:pPr>
              <w:pStyle w:val="null3"/>
              <w:jc w:val="center"/>
            </w:pPr>
            <w:r>
              <w:rPr>
                <w:rFonts w:ascii="仿宋_GB2312" w:hAnsi="仿宋_GB2312" w:cs="仿宋_GB2312" w:eastAsia="仿宋_GB2312"/>
              </w:rPr>
              <w:t>12.00（台）</w:t>
            </w:r>
          </w:p>
        </w:tc>
        <w:tc>
          <w:tcPr>
            <w:tcW w:type="dxa" w:w="1365"/>
          </w:tcPr>
          <w:p>
            <w:pPr>
              <w:pStyle w:val="null3"/>
              <w:jc w:val="center"/>
            </w:pPr>
            <w:r>
              <w:rPr>
                <w:rFonts w:ascii="仿宋_GB2312" w:hAnsi="仿宋_GB2312" w:cs="仿宋_GB2312" w:eastAsia="仿宋_GB2312"/>
              </w:rPr>
              <w:t>347,280.00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互动教学软件</w:t>
            </w:r>
          </w:p>
        </w:tc>
        <w:tc>
          <w:tcPr>
            <w:tcW w:type="dxa" w:w="1138"/>
          </w:tcPr>
          <w:p>
            <w:pPr>
              <w:pStyle w:val="null3"/>
              <w:jc w:val="center"/>
            </w:pPr>
            <w:r>
              <w:rPr>
                <w:rFonts w:ascii="仿宋_GB2312" w:hAnsi="仿宋_GB2312" w:cs="仿宋_GB2312" w:eastAsia="仿宋_GB2312"/>
              </w:rPr>
              <w:t>12.00（套）</w:t>
            </w:r>
          </w:p>
        </w:tc>
        <w:tc>
          <w:tcPr>
            <w:tcW w:type="dxa" w:w="1365"/>
          </w:tcPr>
          <w:p>
            <w:pPr>
              <w:pStyle w:val="null3"/>
              <w:jc w:val="center"/>
            </w:pPr>
            <w:r>
              <w:rPr>
                <w:rFonts w:ascii="仿宋_GB2312" w:hAnsi="仿宋_GB2312" w:cs="仿宋_GB2312" w:eastAsia="仿宋_GB2312"/>
              </w:rPr>
              <w:t>24,960.00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视频展台</w:t>
            </w:r>
          </w:p>
        </w:tc>
        <w:tc>
          <w:tcPr>
            <w:tcW w:type="dxa" w:w="1138"/>
          </w:tcPr>
          <w:p>
            <w:pPr>
              <w:pStyle w:val="null3"/>
              <w:jc w:val="center"/>
            </w:pPr>
            <w:r>
              <w:rPr>
                <w:rFonts w:ascii="仿宋_GB2312" w:hAnsi="仿宋_GB2312" w:cs="仿宋_GB2312" w:eastAsia="仿宋_GB2312"/>
              </w:rPr>
              <w:t>12.00（台）</w:t>
            </w:r>
          </w:p>
        </w:tc>
        <w:tc>
          <w:tcPr>
            <w:tcW w:type="dxa" w:w="1365"/>
          </w:tcPr>
          <w:p>
            <w:pPr>
              <w:pStyle w:val="null3"/>
              <w:jc w:val="center"/>
            </w:pPr>
            <w:r>
              <w:rPr>
                <w:rFonts w:ascii="仿宋_GB2312" w:hAnsi="仿宋_GB2312" w:cs="仿宋_GB2312" w:eastAsia="仿宋_GB2312"/>
              </w:rPr>
              <w:t>11,760.00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A02020800 触控一体机</w:t>
            </w:r>
          </w:p>
        </w:tc>
        <w:tc>
          <w:tcPr>
            <w:tcW w:type="dxa" w:w="2492"/>
          </w:tcPr>
          <w:p>
            <w:pPr>
              <w:pStyle w:val="null3"/>
              <w:jc w:val="left"/>
            </w:pPr>
            <w:r>
              <w:rPr>
                <w:rFonts w:ascii="仿宋_GB2312" w:hAnsi="仿宋_GB2312" w:cs="仿宋_GB2312" w:eastAsia="仿宋_GB2312"/>
              </w:rPr>
              <w:t>智慧黑板</w:t>
            </w:r>
          </w:p>
        </w:tc>
        <w:tc>
          <w:tcPr>
            <w:tcW w:type="dxa" w:w="2492"/>
          </w:tcPr>
          <w:p>
            <w:pPr>
              <w:pStyle w:val="null3"/>
              <w:jc w:val="left"/>
            </w:pPr>
            <w:r>
              <w:rPr>
                <w:rFonts w:ascii="仿宋_GB2312" w:hAnsi="仿宋_GB2312" w:cs="仿宋_GB2312" w:eastAsia="仿宋_GB2312"/>
              </w:rPr>
              <w:t>智慧黑板</w:t>
            </w:r>
          </w:p>
        </w:tc>
      </w:tr>
    </w:tbl>
    <w:p>
      <w:pPr>
        <w:pStyle w:val="null3"/>
        <w:ind w:firstLine="480"/>
        <w:jc w:val="left"/>
      </w:pPr>
      <w:r>
        <w:rPr>
          <w:rFonts w:ascii="仿宋_GB2312" w:hAnsi="仿宋_GB2312" w:cs="仿宋_GB2312" w:eastAsia="仿宋_GB2312"/>
        </w:rPr>
        <w:t>注：涉及核心产品的，具体评审规定见第四章。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A02020800 触控一体机</w:t>
            </w:r>
          </w:p>
        </w:tc>
        <w:tc>
          <w:tcPr>
            <w:tcW w:type="dxa" w:w="2492"/>
          </w:tcPr>
          <w:p>
            <w:pPr>
              <w:pStyle w:val="null3"/>
              <w:jc w:val="left"/>
            </w:pPr>
            <w:r>
              <w:rPr>
                <w:rFonts w:ascii="仿宋_GB2312" w:hAnsi="仿宋_GB2312" w:cs="仿宋_GB2312" w:eastAsia="仿宋_GB2312"/>
              </w:rPr>
              <w:t>智慧黑板</w:t>
            </w:r>
          </w:p>
        </w:tc>
        <w:tc>
          <w:tcPr>
            <w:tcW w:type="dxa" w:w="2492"/>
          </w:tcPr>
          <w:p>
            <w:pPr>
              <w:pStyle w:val="null3"/>
              <w:jc w:val="left"/>
            </w:pPr>
            <w:r>
              <w:rPr>
                <w:rFonts w:ascii="仿宋_GB2312" w:hAnsi="仿宋_GB2312" w:cs="仿宋_GB2312" w:eastAsia="仿宋_GB2312"/>
              </w:rPr>
              <w:t>智慧黑板</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四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四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A02020800 触控一体机</w:t>
            </w:r>
          </w:p>
        </w:tc>
        <w:tc>
          <w:tcPr>
            <w:tcW w:type="dxa" w:w="2492"/>
          </w:tcPr>
          <w:p>
            <w:pPr>
              <w:pStyle w:val="null3"/>
              <w:jc w:val="left"/>
            </w:pPr>
            <w:r>
              <w:rPr>
                <w:rFonts w:ascii="仿宋_GB2312" w:hAnsi="仿宋_GB2312" w:cs="仿宋_GB2312" w:eastAsia="仿宋_GB2312"/>
              </w:rPr>
              <w:t>智慧黑板</w:t>
            </w:r>
          </w:p>
        </w:tc>
        <w:tc>
          <w:tcPr>
            <w:tcW w:type="dxa" w:w="2492"/>
          </w:tcPr>
          <w:p>
            <w:pPr>
              <w:pStyle w:val="null3"/>
              <w:jc w:val="left"/>
            </w:pPr>
            <w:r>
              <w:rPr>
                <w:rFonts w:ascii="仿宋_GB2312" w:hAnsi="仿宋_GB2312" w:cs="仿宋_GB2312" w:eastAsia="仿宋_GB2312"/>
              </w:rPr>
              <w:t>智慧黑板</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四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rPr>
              <w:t>整体要求</w:t>
            </w:r>
          </w:p>
          <w:p>
            <w:pPr>
              <w:pStyle w:val="null3"/>
              <w:jc w:val="left"/>
            </w:pPr>
            <w:r>
              <w:rPr>
                <w:rFonts w:ascii="仿宋_GB2312" w:hAnsi="仿宋_GB2312" w:cs="仿宋_GB2312" w:eastAsia="仿宋_GB2312"/>
              </w:rPr>
              <w:t>1.三拼接平面一体化方形结构，内置摄像头、麦克风、音箱在整机内，外框四周无凸起和外部拼接结构，无推拉式结构，屏幕边缘采用圆角包边，背板采用金属材质。</w:t>
            </w:r>
          </w:p>
          <w:p>
            <w:pPr>
              <w:pStyle w:val="null3"/>
              <w:jc w:val="left"/>
            </w:pPr>
            <w:r>
              <w:rPr>
                <w:rFonts w:ascii="仿宋_GB2312" w:hAnsi="仿宋_GB2312" w:cs="仿宋_GB2312" w:eastAsia="仿宋_GB2312"/>
              </w:rPr>
              <w:t>2.外观尺寸要求宽≥4200mm，高≥1200mm，厚≤120mm。</w:t>
            </w:r>
          </w:p>
          <w:p>
            <w:pPr>
              <w:pStyle w:val="null3"/>
              <w:jc w:val="left"/>
            </w:pPr>
            <w:r>
              <w:rPr>
                <w:rFonts w:ascii="仿宋_GB2312" w:hAnsi="仿宋_GB2312" w:cs="仿宋_GB2312" w:eastAsia="仿宋_GB2312"/>
              </w:rPr>
              <w:t>3.中间屏幕≥86英寸，显示比例16:9，分辨率≥3840×2160，中间屏幕和两侧副屏均支持粉笔直接书写。</w:t>
            </w:r>
          </w:p>
          <w:p>
            <w:pPr>
              <w:pStyle w:val="null3"/>
              <w:jc w:val="left"/>
            </w:pPr>
            <w:r>
              <w:rPr>
                <w:rFonts w:ascii="仿宋_GB2312" w:hAnsi="仿宋_GB2312" w:cs="仿宋_GB2312" w:eastAsia="仿宋_GB2312"/>
              </w:rPr>
              <w:t>4.嵌入式系统版本不低于Android 13，内存≥2GB，存储空间≥8GB。</w:t>
            </w:r>
          </w:p>
          <w:p>
            <w:pPr>
              <w:pStyle w:val="null3"/>
              <w:jc w:val="left"/>
            </w:pPr>
            <w:r>
              <w:rPr>
                <w:rFonts w:ascii="仿宋_GB2312" w:hAnsi="仿宋_GB2312" w:cs="仿宋_GB2312" w:eastAsia="仿宋_GB2312"/>
              </w:rPr>
              <w:t>5.OPS模块处理器≥I5十二代，主频≥2.0GHz，内存≥8G DDR4，硬盘≥256G SSD。</w:t>
            </w:r>
          </w:p>
          <w:p>
            <w:pPr>
              <w:pStyle w:val="null3"/>
              <w:jc w:val="left"/>
            </w:pPr>
            <w:r>
              <w:rPr>
                <w:rFonts w:ascii="仿宋_GB2312" w:hAnsi="仿宋_GB2312" w:cs="仿宋_GB2312" w:eastAsia="仿宋_GB2312"/>
              </w:rPr>
              <w:t>6.OPS模块与整机连接接口针脚总数≤60pin，采用按压式卡扣，无需工具即可快速拆卸电脑模块。（提供具有CMA标识的第三方检测报告复印件）</w:t>
            </w:r>
          </w:p>
          <w:p>
            <w:pPr>
              <w:pStyle w:val="null3"/>
              <w:numPr>
                <w:ilvl w:val="0"/>
                <w:numId w:val="1"/>
              </w:numPr>
              <w:jc w:val="left"/>
            </w:pPr>
            <w:r>
              <w:rPr>
                <w:rFonts w:ascii="仿宋_GB2312" w:hAnsi="仿宋_GB2312" w:cs="仿宋_GB2312" w:eastAsia="仿宋_GB2312"/>
              </w:rPr>
              <w:t>触控性能</w:t>
            </w:r>
          </w:p>
          <w:p>
            <w:pPr>
              <w:pStyle w:val="null3"/>
              <w:jc w:val="left"/>
            </w:pPr>
            <w:r>
              <w:rPr>
                <w:rFonts w:ascii="仿宋_GB2312" w:hAnsi="仿宋_GB2312" w:cs="仿宋_GB2312" w:eastAsia="仿宋_GB2312"/>
              </w:rPr>
              <w:t>1.支持Windows系统中进行40点或以上触控，支持在Android系统中进行40点或以上触控。</w:t>
            </w:r>
          </w:p>
          <w:p>
            <w:pPr>
              <w:pStyle w:val="null3"/>
              <w:jc w:val="left"/>
            </w:pPr>
            <w:r>
              <w:rPr>
                <w:rFonts w:ascii="仿宋_GB2312" w:hAnsi="仿宋_GB2312" w:cs="仿宋_GB2312" w:eastAsia="仿宋_GB2312"/>
              </w:rPr>
              <w:t>2.触摸分辨率≥32768×32768。</w:t>
            </w:r>
          </w:p>
          <w:p>
            <w:pPr>
              <w:pStyle w:val="null3"/>
              <w:jc w:val="left"/>
            </w:pPr>
            <w:r>
              <w:rPr>
                <w:rFonts w:ascii="仿宋_GB2312" w:hAnsi="仿宋_GB2312" w:cs="仿宋_GB2312" w:eastAsia="仿宋_GB2312"/>
              </w:rPr>
              <w:t>3.书写触控延迟≤25ms。</w:t>
            </w:r>
          </w:p>
          <w:p>
            <w:pPr>
              <w:pStyle w:val="null3"/>
              <w:jc w:val="left"/>
            </w:pPr>
            <w:r>
              <w:rPr>
                <w:rFonts w:ascii="仿宋_GB2312" w:hAnsi="仿宋_GB2312" w:cs="仿宋_GB2312" w:eastAsia="仿宋_GB2312"/>
              </w:rPr>
              <w:t>4.支持智能板擦功能，可根据触控物体的形状自动识别出板擦，可进行擦除。</w:t>
            </w:r>
          </w:p>
          <w:p>
            <w:pPr>
              <w:pStyle w:val="null3"/>
              <w:jc w:val="left"/>
            </w:pPr>
            <w:r>
              <w:rPr>
                <w:rFonts w:ascii="仿宋_GB2312" w:hAnsi="仿宋_GB2312" w:cs="仿宋_GB2312" w:eastAsia="仿宋_GB2312"/>
              </w:rPr>
              <w:t>5.具有防遮挡功能，触摸接收器在单点或多点遮挡后仍能正常书写。</w:t>
            </w:r>
          </w:p>
          <w:p>
            <w:pPr>
              <w:pStyle w:val="null3"/>
              <w:numPr>
                <w:ilvl w:val="0"/>
                <w:numId w:val="1"/>
              </w:numPr>
              <w:jc w:val="left"/>
            </w:pPr>
            <w:r>
              <w:rPr>
                <w:rFonts w:ascii="仿宋_GB2312" w:hAnsi="仿宋_GB2312" w:cs="仿宋_GB2312" w:eastAsia="仿宋_GB2312"/>
              </w:rPr>
              <w:t>音视频性能</w:t>
            </w:r>
          </w:p>
          <w:p>
            <w:pPr>
              <w:pStyle w:val="null3"/>
              <w:jc w:val="left"/>
            </w:pPr>
            <w:r>
              <w:rPr>
                <w:rFonts w:ascii="仿宋_GB2312" w:hAnsi="仿宋_GB2312" w:cs="仿宋_GB2312" w:eastAsia="仿宋_GB2312"/>
              </w:rPr>
              <w:t>1.内置2.2声道扬声器，顶置朝前发声，扬声器数量≥4个，额定总功率60W，可进行高级音效设置，支持左右声道平衡调节，支持AI音效模式，通过内置麦克风采集教室声音，自动生成当前教室符合的频段、音量、音效。（提供具有CMA标识的第三方检测报告复印件）</w:t>
            </w:r>
          </w:p>
          <w:p>
            <w:pPr>
              <w:pStyle w:val="null3"/>
              <w:jc w:val="left"/>
            </w:pPr>
            <w:r>
              <w:rPr>
                <w:rFonts w:ascii="仿宋_GB2312" w:hAnsi="仿宋_GB2312" w:cs="仿宋_GB2312" w:eastAsia="仿宋_GB2312"/>
              </w:rPr>
              <w:t>2.内置非独立摄像头，采用一体化集成设计，摄像头数量≥4个。支持输出4:3、16:9比例的图片和视频；在清晰度为2592*1944分辨率下，支持30帧的视频输出。（提供实物图片和软件功能截图）</w:t>
            </w:r>
          </w:p>
          <w:p>
            <w:pPr>
              <w:pStyle w:val="null3"/>
              <w:jc w:val="left"/>
            </w:pPr>
            <w:r>
              <w:rPr>
                <w:rFonts w:ascii="仿宋_GB2312" w:hAnsi="仿宋_GB2312" w:cs="仿宋_GB2312" w:eastAsia="仿宋_GB2312"/>
              </w:rPr>
              <w:t>3.内置麦克风≥8阵列，拾音角度≥180°，拾音距离≥10m。</w:t>
            </w:r>
          </w:p>
          <w:p>
            <w:pPr>
              <w:pStyle w:val="null3"/>
              <w:jc w:val="left"/>
            </w:pPr>
            <w:r>
              <w:rPr>
                <w:rFonts w:ascii="仿宋_GB2312" w:hAnsi="仿宋_GB2312" w:cs="仿宋_GB2312" w:eastAsia="仿宋_GB2312"/>
              </w:rPr>
              <w:t>4.支持智能画质调节模式，当屏幕出现人物、建筑、夜景等元素时，自动调整对比度、饱和度、锐利度、色调色相值、高光/阴影。</w:t>
            </w:r>
          </w:p>
          <w:p>
            <w:pPr>
              <w:pStyle w:val="null3"/>
              <w:jc w:val="left"/>
            </w:pPr>
            <w:r>
              <w:rPr>
                <w:rFonts w:ascii="仿宋_GB2312" w:hAnsi="仿宋_GB2312" w:cs="仿宋_GB2312" w:eastAsia="仿宋_GB2312"/>
              </w:rPr>
              <w:t>5.支持纸质护眼模式，可实现画面纹理的实时调整，支持牛皮纸、素描纸、宣纸、水纹纸等纸质纹理，支持透明度调节，支持色温调节。</w:t>
            </w:r>
          </w:p>
          <w:p>
            <w:pPr>
              <w:pStyle w:val="null3"/>
              <w:numPr>
                <w:ilvl w:val="0"/>
                <w:numId w:val="1"/>
              </w:numPr>
              <w:jc w:val="left"/>
            </w:pPr>
            <w:r>
              <w:rPr>
                <w:rFonts w:ascii="仿宋_GB2312" w:hAnsi="仿宋_GB2312" w:cs="仿宋_GB2312" w:eastAsia="仿宋_GB2312"/>
              </w:rPr>
              <w:t>无线性能</w:t>
            </w:r>
          </w:p>
          <w:p>
            <w:pPr>
              <w:pStyle w:val="null3"/>
              <w:jc w:val="left"/>
            </w:pPr>
            <w:r>
              <w:rPr>
                <w:rFonts w:ascii="仿宋_GB2312" w:hAnsi="仿宋_GB2312" w:cs="仿宋_GB2312" w:eastAsia="仿宋_GB2312"/>
              </w:rPr>
              <w:t>1.内置双无线模块，在Android和Windows系统下可实现Wi-Fi无线上网连接、AP无线热点发射和BT蓝牙连接功能。</w:t>
            </w:r>
          </w:p>
          <w:p>
            <w:pPr>
              <w:pStyle w:val="null3"/>
              <w:jc w:val="left"/>
            </w:pPr>
            <w:r>
              <w:rPr>
                <w:rFonts w:ascii="仿宋_GB2312" w:hAnsi="仿宋_GB2312" w:cs="仿宋_GB2312" w:eastAsia="仿宋_GB2312"/>
              </w:rPr>
              <w:t>2.Wi-Fi和AP热点工作距离≥12m，支持频段2.4GHz/5GHz。</w:t>
            </w:r>
          </w:p>
          <w:p>
            <w:pPr>
              <w:pStyle w:val="null3"/>
              <w:jc w:val="left"/>
            </w:pPr>
            <w:r>
              <w:rPr>
                <w:rFonts w:ascii="仿宋_GB2312" w:hAnsi="仿宋_GB2312" w:cs="仿宋_GB2312" w:eastAsia="仿宋_GB2312"/>
              </w:rPr>
              <w:t>3.支持Wi-Fi6，支持≥蓝牙5.4版本。</w:t>
            </w:r>
          </w:p>
          <w:p>
            <w:pPr>
              <w:pStyle w:val="null3"/>
              <w:jc w:val="left"/>
            </w:pPr>
            <w:r>
              <w:rPr>
                <w:rFonts w:ascii="仿宋_GB2312" w:hAnsi="仿宋_GB2312" w:cs="仿宋_GB2312" w:eastAsia="仿宋_GB2312"/>
              </w:rPr>
              <w:t>4.支持发出超声波信号，手机麦克风接收后无需在同一局域网内，可实现配对，一键投屏，无需手动输入投屏码或扫码。（提供具有CMA标识的第三方检测报告复印件）</w:t>
            </w:r>
          </w:p>
          <w:p>
            <w:pPr>
              <w:pStyle w:val="null3"/>
              <w:jc w:val="left"/>
            </w:pPr>
            <w:r>
              <w:rPr>
                <w:rFonts w:ascii="仿宋_GB2312" w:hAnsi="仿宋_GB2312" w:cs="仿宋_GB2312" w:eastAsia="仿宋_GB2312"/>
              </w:rPr>
              <w:t>5.支持主动发现蓝牙外设进行连接。</w:t>
            </w:r>
          </w:p>
          <w:p>
            <w:pPr>
              <w:pStyle w:val="null3"/>
              <w:numPr>
                <w:ilvl w:val="0"/>
                <w:numId w:val="1"/>
              </w:numPr>
              <w:jc w:val="left"/>
            </w:pPr>
            <w:r>
              <w:rPr>
                <w:rFonts w:ascii="仿宋_GB2312" w:hAnsi="仿宋_GB2312" w:cs="仿宋_GB2312" w:eastAsia="仿宋_GB2312"/>
              </w:rPr>
              <w:t>安全性能</w:t>
            </w:r>
          </w:p>
          <w:p>
            <w:pPr>
              <w:pStyle w:val="null3"/>
              <w:jc w:val="left"/>
            </w:pPr>
            <w:r>
              <w:rPr>
                <w:rFonts w:ascii="仿宋_GB2312" w:hAnsi="仿宋_GB2312" w:cs="仿宋_GB2312" w:eastAsia="仿宋_GB2312"/>
              </w:rPr>
              <w:t>1.支持智能U盘锁功能，可设置触摸及按键锁定，锁定后无法随意自由操作，需要使用时插入USB key可解锁。</w:t>
            </w:r>
          </w:p>
          <w:p>
            <w:pPr>
              <w:pStyle w:val="null3"/>
              <w:jc w:val="left"/>
            </w:pPr>
            <w:r>
              <w:rPr>
                <w:rFonts w:ascii="仿宋_GB2312" w:hAnsi="仿宋_GB2312" w:cs="仿宋_GB2312" w:eastAsia="仿宋_GB2312"/>
              </w:rPr>
              <w:t>2.关机状态下，通过长按电源键进入设置界面后，可点击屏幕选择故障检测、系统还原功能，系统还原可单独还原PC系统，单独还原整机系统。</w:t>
            </w:r>
          </w:p>
          <w:p>
            <w:pPr>
              <w:pStyle w:val="null3"/>
              <w:jc w:val="left"/>
            </w:pPr>
            <w:r>
              <w:rPr>
                <w:rFonts w:ascii="仿宋_GB2312" w:hAnsi="仿宋_GB2312" w:cs="仿宋_GB2312" w:eastAsia="仿宋_GB2312"/>
              </w:rPr>
              <w:t>3.内置专业硬件自检维护工具（非第三方工具），支持对整机内部的板卡及部件模块进行故障检测、系统还原功能。</w:t>
            </w:r>
          </w:p>
          <w:p>
            <w:pPr>
              <w:pStyle w:val="null3"/>
              <w:jc w:val="left"/>
            </w:pPr>
            <w:r>
              <w:rPr>
                <w:rFonts w:ascii="仿宋_GB2312" w:hAnsi="仿宋_GB2312" w:cs="仿宋_GB2312" w:eastAsia="仿宋_GB2312"/>
              </w:rPr>
              <w:t>4.采用全物理钢化玻璃，支持防眩光功能。</w:t>
            </w:r>
          </w:p>
          <w:p>
            <w:pPr>
              <w:pStyle w:val="null3"/>
              <w:jc w:val="left"/>
            </w:pPr>
            <w:r>
              <w:rPr>
                <w:rFonts w:ascii="仿宋_GB2312" w:hAnsi="仿宋_GB2312" w:cs="仿宋_GB2312" w:eastAsia="仿宋_GB2312"/>
              </w:rPr>
              <w:t>5.采用硬件低蓝光背光技术，在源头减少有害蓝光波段能量。</w:t>
            </w:r>
          </w:p>
          <w:p>
            <w:pPr>
              <w:pStyle w:val="null3"/>
              <w:jc w:val="left"/>
            </w:pPr>
            <w:r>
              <w:rPr>
                <w:rFonts w:ascii="仿宋_GB2312" w:hAnsi="仿宋_GB2312" w:cs="仿宋_GB2312" w:eastAsia="仿宋_GB2312"/>
              </w:rPr>
              <w:t>6.具备供电保护模块，能够检测内置电脑是否插好在位，在内置电脑未在位的情况下，内置电脑无法上电工作。</w:t>
            </w:r>
          </w:p>
          <w:p>
            <w:pPr>
              <w:pStyle w:val="null3"/>
              <w:numPr>
                <w:ilvl w:val="0"/>
                <w:numId w:val="1"/>
              </w:numPr>
              <w:jc w:val="left"/>
            </w:pPr>
            <w:r>
              <w:rPr>
                <w:rFonts w:ascii="仿宋_GB2312" w:hAnsi="仿宋_GB2312" w:cs="仿宋_GB2312" w:eastAsia="仿宋_GB2312"/>
              </w:rPr>
              <w:t>功能要求</w:t>
            </w:r>
          </w:p>
          <w:p>
            <w:pPr>
              <w:pStyle w:val="null3"/>
              <w:jc w:val="left"/>
            </w:pPr>
            <w:r>
              <w:rPr>
                <w:rFonts w:ascii="仿宋_GB2312" w:hAnsi="仿宋_GB2312" w:cs="仿宋_GB2312" w:eastAsia="仿宋_GB2312"/>
              </w:rPr>
              <w:t>1.支持将设备屏幕降低为半屏幕状态，点击上半屏幕可以返回全屏状态。</w:t>
            </w:r>
          </w:p>
          <w:p>
            <w:pPr>
              <w:pStyle w:val="null3"/>
              <w:jc w:val="left"/>
            </w:pPr>
            <w:r>
              <w:rPr>
                <w:rFonts w:ascii="仿宋_GB2312" w:hAnsi="仿宋_GB2312" w:cs="仿宋_GB2312" w:eastAsia="仿宋_GB2312"/>
              </w:rPr>
              <w:t>2.支持自主选择所需截取的屏幕范围，点击截屏即可成功截取屏幕，并自动保存。</w:t>
            </w:r>
          </w:p>
          <w:p>
            <w:pPr>
              <w:pStyle w:val="null3"/>
              <w:jc w:val="left"/>
            </w:pPr>
            <w:r>
              <w:rPr>
                <w:rFonts w:ascii="仿宋_GB2312" w:hAnsi="仿宋_GB2312" w:cs="仿宋_GB2312" w:eastAsia="仿宋_GB2312"/>
              </w:rPr>
              <w:t>3.支持通过摄像头获取教室内图像并自动识别图像内所有人员，并自动进行人数统计。</w:t>
            </w:r>
          </w:p>
          <w:p>
            <w:pPr>
              <w:pStyle w:val="null3"/>
              <w:jc w:val="left"/>
            </w:pPr>
            <w:r>
              <w:rPr>
                <w:rFonts w:ascii="仿宋_GB2312" w:hAnsi="仿宋_GB2312" w:cs="仿宋_GB2312" w:eastAsia="仿宋_GB2312"/>
              </w:rPr>
              <w:t>4.支持智能手势识别，全通道可识别五指上、下、左、右方向手势、五指画○、左右晃动、缩/放方向手势滑动并调用相应功能，支持将各手势滑动方向自定义设置为无操作、熄屏、批注、桌面、半屏模式。</w:t>
            </w:r>
          </w:p>
          <w:p>
            <w:pPr>
              <w:pStyle w:val="null3"/>
              <w:jc w:val="left"/>
            </w:pPr>
            <w:r>
              <w:rPr>
                <w:rFonts w:ascii="仿宋_GB2312" w:hAnsi="仿宋_GB2312" w:cs="仿宋_GB2312" w:eastAsia="仿宋_GB2312"/>
              </w:rPr>
              <w:t>5.支持USB连接视频展台后，一键打开/关闭展台软件，在任意通道下均可实时查看视频展台连接状态，当连接/断开连接时，提供 实时反馈提示，支持读取视频展台设备型号，对应显示设备实物图片。（提供具有CMA标识的第三方检测报告复印件）</w:t>
            </w:r>
          </w:p>
          <w:p>
            <w:pPr>
              <w:pStyle w:val="null3"/>
              <w:jc w:val="left"/>
            </w:pPr>
            <w:r>
              <w:rPr>
                <w:rFonts w:ascii="仿宋_GB2312" w:hAnsi="仿宋_GB2312" w:cs="仿宋_GB2312" w:eastAsia="仿宋_GB2312"/>
              </w:rPr>
              <w:t>6.具备教学桌面，支持账号登录、退出，自动获取个人云端教学课件列表，支持自定义桌面应用、查看设备盘符、显示存储空间状态、推荐应用、应用卸载、锁屏、重启、关机等功能。</w:t>
            </w:r>
          </w:p>
          <w:p>
            <w:pPr>
              <w:pStyle w:val="null3"/>
              <w:jc w:val="left"/>
            </w:pPr>
            <w:r>
              <w:rPr>
                <w:rFonts w:ascii="仿宋_GB2312" w:hAnsi="仿宋_GB2312" w:cs="仿宋_GB2312" w:eastAsia="仿宋_GB2312"/>
              </w:rPr>
              <w:t>7.自带地震预警软件，支持在地震预警页面中获取位置，可以手动进行位置校准、选择提醒阈值，支持开启和关闭地震预警服务。（提供软件功能截图）</w:t>
            </w:r>
          </w:p>
          <w:p>
            <w:pPr>
              <w:pStyle w:val="null3"/>
              <w:jc w:val="left"/>
            </w:pPr>
            <w:r>
              <w:rPr>
                <w:rFonts w:ascii="仿宋_GB2312" w:hAnsi="仿宋_GB2312" w:cs="仿宋_GB2312" w:eastAsia="仿宋_GB2312"/>
              </w:rPr>
              <w:t>以上所有要求提供第三方检测报告的，请各潜在投标供应商在投标文件内附检测报告复印件予以佐证。</w:t>
            </w:r>
          </w:p>
        </w:tc>
      </w:tr>
    </w:tbl>
    <w:p>
      <w:pPr>
        <w:pStyle w:val="null3"/>
        <w:jc w:val="left"/>
      </w:pPr>
      <w:r>
        <w:rPr>
          <w:rFonts w:ascii="仿宋_GB2312" w:hAnsi="仿宋_GB2312" w:cs="仿宋_GB2312" w:eastAsia="仿宋_GB2312"/>
        </w:rPr>
        <w:t>标的名称：互动教学软件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rPr>
              <w:t>一、整体要求</w:t>
            </w:r>
          </w:p>
          <w:p>
            <w:pPr>
              <w:pStyle w:val="null3"/>
              <w:jc w:val="left"/>
            </w:pPr>
            <w:r>
              <w:rPr>
                <w:rFonts w:ascii="仿宋_GB2312" w:hAnsi="仿宋_GB2312" w:cs="仿宋_GB2312" w:eastAsia="仿宋_GB2312"/>
              </w:rPr>
              <w:t>1.为使用教师提供个人账号和云空间（可拓展至100TB容量），可根据教师账号将教师匹配至对应学校，云空间匹配至校本资源库，支持账号密码、微信二维码、硬件密钥方式登录教师账号。</w:t>
            </w:r>
          </w:p>
          <w:p>
            <w:pPr>
              <w:pStyle w:val="null3"/>
              <w:jc w:val="left"/>
            </w:pPr>
            <w:r>
              <w:rPr>
                <w:rFonts w:ascii="仿宋_GB2312" w:hAnsi="仿宋_GB2312" w:cs="仿宋_GB2312" w:eastAsia="仿宋_GB2312"/>
              </w:rPr>
              <w:t>2.云空间支持上传文档、图片、音视频，并支持文件夹分级分层。</w:t>
            </w:r>
          </w:p>
          <w:p>
            <w:pPr>
              <w:pStyle w:val="null3"/>
              <w:jc w:val="left"/>
            </w:pPr>
            <w:r>
              <w:rPr>
                <w:rFonts w:ascii="仿宋_GB2312" w:hAnsi="仿宋_GB2312" w:cs="仿宋_GB2312" w:eastAsia="仿宋_GB2312"/>
              </w:rPr>
              <w:t>3.互动课件支持云分享，可通过链接或二维码形式进行分享，支持进行加密，可设置访问有效期，同时支持定向分享至指定账号。</w:t>
            </w:r>
          </w:p>
          <w:p>
            <w:pPr>
              <w:pStyle w:val="null3"/>
              <w:jc w:val="left"/>
            </w:pPr>
            <w:r>
              <w:rPr>
                <w:rFonts w:ascii="仿宋_GB2312" w:hAnsi="仿宋_GB2312" w:cs="仿宋_GB2312" w:eastAsia="仿宋_GB2312"/>
              </w:rPr>
              <w:t>4.支持PPT课件和互动课件相互转化，可将pptx导入互动教学软件并支持原文件中的文字、图片、表格等对象及动画的可编辑，支持单份导入和批量导入；互动课件可到处为pptx、pdf、H5等格式。</w:t>
            </w:r>
          </w:p>
          <w:p>
            <w:pPr>
              <w:pStyle w:val="null3"/>
              <w:jc w:val="left"/>
            </w:pPr>
            <w:r>
              <w:rPr>
                <w:rFonts w:ascii="仿宋_GB2312" w:hAnsi="仿宋_GB2312" w:cs="仿宋_GB2312" w:eastAsia="仿宋_GB2312"/>
              </w:rPr>
              <w:t>5.互动教学软件内置胶囊式微课功能，可快速录制微课，支持录制和保存音频及课件的互动功能。</w:t>
            </w:r>
          </w:p>
          <w:p>
            <w:pPr>
              <w:pStyle w:val="null3"/>
              <w:jc w:val="left"/>
            </w:pPr>
            <w:r>
              <w:rPr>
                <w:rFonts w:ascii="仿宋_GB2312" w:hAnsi="仿宋_GB2312" w:cs="仿宋_GB2312" w:eastAsia="仿宋_GB2312"/>
              </w:rPr>
              <w:t>6.备授课一体化，教师可根据场景自由切换备课模式和授课模式，适用于办公室备课和教师上课，软件支持自动识别场景推荐备授课模式。</w:t>
            </w:r>
          </w:p>
          <w:p>
            <w:pPr>
              <w:pStyle w:val="null3"/>
              <w:jc w:val="left"/>
            </w:pPr>
            <w:r>
              <w:rPr>
                <w:rFonts w:ascii="仿宋_GB2312" w:hAnsi="仿宋_GB2312" w:cs="仿宋_GB2312" w:eastAsia="仿宋_GB2312"/>
              </w:rPr>
              <w:t>7.具有课件制作数据统计功能，支持按本周、本月、本学期、自定义时间查看全校教师课件制作的数据排行，教师榜单支持按照课件数、上传校本课件数、校本课件热度进行排序，课件数据支持按学科对比。（提供软件功能截图）</w:t>
            </w:r>
          </w:p>
          <w:p>
            <w:pPr>
              <w:pStyle w:val="null3"/>
              <w:jc w:val="left"/>
            </w:pPr>
            <w:r>
              <w:rPr>
                <w:rFonts w:ascii="仿宋_GB2312" w:hAnsi="仿宋_GB2312" w:cs="仿宋_GB2312" w:eastAsia="仿宋_GB2312"/>
              </w:rPr>
              <w:t>二、教学工具</w:t>
            </w:r>
          </w:p>
          <w:p>
            <w:pPr>
              <w:pStyle w:val="null3"/>
              <w:jc w:val="left"/>
            </w:pPr>
            <w:r>
              <w:rPr>
                <w:rFonts w:ascii="仿宋_GB2312" w:hAnsi="仿宋_GB2312" w:cs="仿宋_GB2312" w:eastAsia="仿宋_GB2312"/>
              </w:rPr>
              <w:t>1.文本：可插入文本框，支持设置字体、字号、颜色、加粗、倾斜、下划线、上下角标等，支持段落样式设置对齐、缩进、行高等，提供艺术字效果。</w:t>
            </w:r>
          </w:p>
          <w:p>
            <w:pPr>
              <w:pStyle w:val="null3"/>
              <w:jc w:val="left"/>
            </w:pPr>
            <w:r>
              <w:rPr>
                <w:rFonts w:ascii="仿宋_GB2312" w:hAnsi="仿宋_GB2312" w:cs="仿宋_GB2312" w:eastAsia="仿宋_GB2312"/>
              </w:rPr>
              <w:t>2.图片：内置图片处理功能，可对课件内的图片进行快速抠图，处理后边缘无明显毛边，处理后的图片可直接上传至教师云空间供后续复用。</w:t>
            </w:r>
          </w:p>
          <w:p>
            <w:pPr>
              <w:pStyle w:val="null3"/>
              <w:jc w:val="left"/>
            </w:pPr>
            <w:r>
              <w:rPr>
                <w:rFonts w:ascii="仿宋_GB2312" w:hAnsi="仿宋_GB2312" w:cs="仿宋_GB2312" w:eastAsia="仿宋_GB2312"/>
              </w:rPr>
              <w:t>3.蒙层：可一键将课件内文本、图片、形状等对象添加蒙层隐藏效果，授课模式下可通过擦除蒙层展现隐藏内容。</w:t>
            </w:r>
          </w:p>
          <w:p>
            <w:pPr>
              <w:pStyle w:val="null3"/>
              <w:jc w:val="left"/>
            </w:pPr>
            <w:r>
              <w:rPr>
                <w:rFonts w:ascii="仿宋_GB2312" w:hAnsi="仿宋_GB2312" w:cs="仿宋_GB2312" w:eastAsia="仿宋_GB2312"/>
              </w:rPr>
              <w:t>4.备注：提供页面备注功能，可一键展开/隐藏备注.</w:t>
            </w:r>
          </w:p>
          <w:p>
            <w:pPr>
              <w:pStyle w:val="null3"/>
              <w:jc w:val="left"/>
            </w:pPr>
            <w:r>
              <w:rPr>
                <w:rFonts w:ascii="仿宋_GB2312" w:hAnsi="仿宋_GB2312" w:cs="仿宋_GB2312" w:eastAsia="仿宋_GB2312"/>
              </w:rPr>
              <w:t>5.动画：支持文本、形状、图片等内容的触发动画，可对动画的设置触发条件、动画声效、动画时长、动画延迟和动画方向进行自定义设置。</w:t>
            </w:r>
          </w:p>
          <w:p>
            <w:pPr>
              <w:pStyle w:val="null3"/>
              <w:jc w:val="left"/>
            </w:pPr>
            <w:r>
              <w:rPr>
                <w:rFonts w:ascii="仿宋_GB2312" w:hAnsi="仿宋_GB2312" w:cs="仿宋_GB2312" w:eastAsia="仿宋_GB2312"/>
              </w:rPr>
              <w:t>6.表格：可自由插入表格，支持边框、底纹设置，可自由合并单元格。</w:t>
            </w:r>
          </w:p>
          <w:p>
            <w:pPr>
              <w:pStyle w:val="null3"/>
              <w:jc w:val="left"/>
            </w:pPr>
            <w:r>
              <w:rPr>
                <w:rFonts w:ascii="仿宋_GB2312" w:hAnsi="仿宋_GB2312" w:cs="仿宋_GB2312" w:eastAsia="仿宋_GB2312"/>
              </w:rPr>
              <w:t>7.思维导图：提供预设模板，可自由增删或拖拽编辑节点，并支持在节点上插入图片、音频、视频、网页链接、课件页面等内容，便于建构知识结构。</w:t>
            </w:r>
          </w:p>
          <w:p>
            <w:pPr>
              <w:pStyle w:val="null3"/>
              <w:jc w:val="left"/>
            </w:pPr>
            <w:r>
              <w:rPr>
                <w:rFonts w:ascii="仿宋_GB2312" w:hAnsi="仿宋_GB2312" w:cs="仿宋_GB2312" w:eastAsia="仿宋_GB2312"/>
              </w:rPr>
              <w:t>8.美术：内置专用美术画板工具，提供铅笔、毛笔、油画笔等笔触，具备符合绘画调色教学需求的模拟调色盘，可选择不同颜色混合调色。（提供软件功能截图）</w:t>
            </w:r>
          </w:p>
          <w:p>
            <w:pPr>
              <w:pStyle w:val="null3"/>
              <w:jc w:val="left"/>
            </w:pPr>
            <w:r>
              <w:rPr>
                <w:rFonts w:ascii="仿宋_GB2312" w:hAnsi="仿宋_GB2312" w:cs="仿宋_GB2312" w:eastAsia="仿宋_GB2312"/>
              </w:rPr>
              <w:t>三、教研模块</w:t>
            </w:r>
          </w:p>
          <w:p>
            <w:pPr>
              <w:pStyle w:val="null3"/>
              <w:jc w:val="left"/>
            </w:pPr>
            <w:r>
              <w:rPr>
                <w:rFonts w:ascii="仿宋_GB2312" w:hAnsi="仿宋_GB2312" w:cs="仿宋_GB2312" w:eastAsia="仿宋_GB2312"/>
              </w:rPr>
              <w:t>1.具有校本资源库，资源包括课件、教案、习题、音视频多媒体文件等内容，支持进行上传、搜索、下载、查看、预览等功能。</w:t>
            </w:r>
          </w:p>
          <w:p>
            <w:pPr>
              <w:pStyle w:val="null3"/>
              <w:jc w:val="left"/>
            </w:pPr>
            <w:r>
              <w:rPr>
                <w:rFonts w:ascii="仿宋_GB2312" w:hAnsi="仿宋_GB2312" w:cs="仿宋_GB2312" w:eastAsia="仿宋_GB2312"/>
              </w:rPr>
              <w:t>2.支持电子听评课，可发起授课评价，查看评课记录，导出评课报告和听课记录，支持通过直播听评课和AI课堂数据分析。</w:t>
            </w:r>
          </w:p>
          <w:p>
            <w:pPr>
              <w:pStyle w:val="null3"/>
              <w:jc w:val="left"/>
            </w:pPr>
            <w:r>
              <w:rPr>
                <w:rFonts w:ascii="仿宋_GB2312" w:hAnsi="仿宋_GB2312" w:cs="仿宋_GB2312" w:eastAsia="仿宋_GB2312"/>
              </w:rPr>
              <w:t>3.支持选择教案、课件、微课资源上传发起集备研讨，可设置访问权限，通过手机号搜索邀请老师跨校研讨。</w:t>
            </w:r>
          </w:p>
          <w:p>
            <w:pPr>
              <w:pStyle w:val="null3"/>
              <w:jc w:val="left"/>
            </w:pPr>
            <w:r>
              <w:rPr>
                <w:rFonts w:ascii="仿宋_GB2312" w:hAnsi="仿宋_GB2312" w:cs="仿宋_GB2312" w:eastAsia="仿宋_GB2312"/>
              </w:rPr>
              <w:t>4.支持查看教研组听评课数据概况，包含课程及教师评价记录，可按评课表或学科进行快速筛选，可查看教师评课维度得分详情，支持自定义设置学校专属评课表，系统预置中央电教馆“一师一优课，一课一名师”、“教师通用评课表-评分制”模板供使用。（提供软件功能截图）</w:t>
            </w:r>
          </w:p>
          <w:p>
            <w:pPr>
              <w:pStyle w:val="null3"/>
              <w:jc w:val="left"/>
            </w:pPr>
            <w:r>
              <w:rPr>
                <w:rFonts w:ascii="仿宋_GB2312" w:hAnsi="仿宋_GB2312" w:cs="仿宋_GB2312" w:eastAsia="仿宋_GB2312"/>
              </w:rPr>
              <w:t>5.支持创建教研组，添加备课组成员，可实现备课资源共享，搜索、获取备课资源，参与研讨和回顾集体备课研讨内容。</w:t>
            </w:r>
          </w:p>
        </w:tc>
      </w:tr>
    </w:tbl>
    <w:p>
      <w:pPr>
        <w:pStyle w:val="null3"/>
        <w:jc w:val="left"/>
      </w:pPr>
      <w:r>
        <w:rPr>
          <w:rFonts w:ascii="仿宋_GB2312" w:hAnsi="仿宋_GB2312" w:cs="仿宋_GB2312" w:eastAsia="仿宋_GB2312"/>
        </w:rPr>
        <w:t>标的名称：视频展台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numPr>
                <w:ilvl w:val="0"/>
                <w:numId w:val="1"/>
              </w:numPr>
              <w:jc w:val="both"/>
            </w:pPr>
            <w:r>
              <w:rPr>
                <w:rFonts w:ascii="仿宋_GB2312" w:hAnsi="仿宋_GB2312" w:cs="仿宋_GB2312" w:eastAsia="仿宋_GB2312"/>
              </w:rPr>
              <w:t>硬件要求</w:t>
            </w:r>
          </w:p>
          <w:p>
            <w:pPr>
              <w:pStyle w:val="null3"/>
              <w:jc w:val="left"/>
            </w:pPr>
            <w:r>
              <w:rPr>
                <w:rFonts w:ascii="仿宋_GB2312" w:hAnsi="仿宋_GB2312" w:cs="仿宋_GB2312" w:eastAsia="仿宋_GB2312"/>
              </w:rPr>
              <w:t>1.摄像头≥800万像素，连接方式为USB直接供电。</w:t>
            </w:r>
          </w:p>
          <w:p>
            <w:pPr>
              <w:pStyle w:val="null3"/>
              <w:jc w:val="left"/>
            </w:pPr>
            <w:r>
              <w:rPr>
                <w:rFonts w:ascii="仿宋_GB2312" w:hAnsi="仿宋_GB2312" w:cs="仿宋_GB2312" w:eastAsia="仿宋_GB2312"/>
              </w:rPr>
              <w:t>2.采用圆弧式设计，无锐角，托板采用磁吸吸附式结构。</w:t>
            </w:r>
          </w:p>
          <w:p>
            <w:pPr>
              <w:pStyle w:val="null3"/>
              <w:jc w:val="left"/>
            </w:pPr>
            <w:r>
              <w:rPr>
                <w:rFonts w:ascii="仿宋_GB2312" w:hAnsi="仿宋_GB2312" w:cs="仿宋_GB2312" w:eastAsia="仿宋_GB2312"/>
              </w:rPr>
              <w:t>3.展示托板正上方具备LED补光灯。</w:t>
            </w:r>
          </w:p>
          <w:p>
            <w:pPr>
              <w:pStyle w:val="null3"/>
              <w:jc w:val="left"/>
            </w:pPr>
            <w:r>
              <w:rPr>
                <w:rFonts w:ascii="仿宋_GB2312" w:hAnsi="仿宋_GB2312" w:cs="仿宋_GB2312" w:eastAsia="仿宋_GB2312"/>
              </w:rPr>
              <w:t>4.带自动对焦摄像头，摄像头防护等级达到IP4X级别。</w:t>
            </w:r>
          </w:p>
          <w:p>
            <w:pPr>
              <w:pStyle w:val="null3"/>
              <w:numPr>
                <w:ilvl w:val="0"/>
                <w:numId w:val="1"/>
              </w:numPr>
              <w:jc w:val="left"/>
            </w:pPr>
            <w:r>
              <w:rPr>
                <w:rFonts w:ascii="仿宋_GB2312" w:hAnsi="仿宋_GB2312" w:cs="仿宋_GB2312" w:eastAsia="仿宋_GB2312"/>
              </w:rPr>
              <w:t>软件功能</w:t>
            </w:r>
          </w:p>
          <w:p>
            <w:pPr>
              <w:pStyle w:val="null3"/>
              <w:jc w:val="left"/>
            </w:pPr>
            <w:r>
              <w:rPr>
                <w:rFonts w:ascii="仿宋_GB2312" w:hAnsi="仿宋_GB2312" w:cs="仿宋_GB2312" w:eastAsia="仿宋_GB2312"/>
              </w:rPr>
              <w:t>1.支持对展台画面进行放大、缩小、旋转、自适应、冻结画面等操作。</w:t>
            </w:r>
          </w:p>
          <w:p>
            <w:pPr>
              <w:pStyle w:val="null3"/>
              <w:jc w:val="left"/>
            </w:pPr>
            <w:r>
              <w:rPr>
                <w:rFonts w:ascii="仿宋_GB2312" w:hAnsi="仿宋_GB2312" w:cs="仿宋_GB2312" w:eastAsia="仿宋_GB2312"/>
              </w:rPr>
              <w:t>2.支持展台画面实时批注，多种笔划粗细及颜色可选，且支持对展台画面联同批注内容进行同步缩放、移动。</w:t>
            </w:r>
          </w:p>
          <w:p>
            <w:pPr>
              <w:pStyle w:val="null3"/>
              <w:jc w:val="left"/>
            </w:pPr>
            <w:r>
              <w:rPr>
                <w:rFonts w:ascii="仿宋_GB2312" w:hAnsi="仿宋_GB2312" w:cs="仿宋_GB2312" w:eastAsia="仿宋_GB2312"/>
              </w:rPr>
              <w:t>3.支持展台画面拍照截图并进行多图预览，可对任一图片进行全屏显示。</w:t>
            </w:r>
          </w:p>
          <w:p>
            <w:pPr>
              <w:pStyle w:val="null3"/>
              <w:jc w:val="left"/>
            </w:pPr>
            <w:r>
              <w:rPr>
                <w:rFonts w:ascii="仿宋_GB2312" w:hAnsi="仿宋_GB2312" w:cs="仿宋_GB2312" w:eastAsia="仿宋_GB2312"/>
              </w:rPr>
              <w:t>4.可选择图像、文本或动态三种情景模式，适应不同展示内容。</w:t>
            </w:r>
          </w:p>
          <w:p>
            <w:pPr>
              <w:pStyle w:val="null3"/>
              <w:jc w:val="left"/>
            </w:pPr>
            <w:r>
              <w:rPr>
                <w:rFonts w:ascii="仿宋_GB2312" w:hAnsi="仿宋_GB2312" w:cs="仿宋_GB2312" w:eastAsia="仿宋_GB2312"/>
              </w:rPr>
              <w:t>5.具有故障自动检测功能，在软件无法出现展台拍摄画面时，自动出现检测连接，检测原因并给出引导性解决方案。</w:t>
            </w:r>
          </w:p>
          <w:p>
            <w:pPr>
              <w:pStyle w:val="null3"/>
              <w:jc w:val="left"/>
            </w:pPr>
            <w:r>
              <w:rPr>
                <w:rFonts w:ascii="仿宋_GB2312" w:hAnsi="仿宋_GB2312" w:cs="仿宋_GB2312" w:eastAsia="仿宋_GB2312"/>
              </w:rPr>
              <w:t>6.支持二维码自动扫描，书本上的二维码放入扫描框内即可自动扫描，并进入系统浏览器获取二维码链接内容，获取电子教学资源。</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供货方式</w:t>
            </w:r>
          </w:p>
        </w:tc>
        <w:tc>
          <w:tcPr>
            <w:tcW w:type="dxa" w:w="5814"/>
          </w:tcPr>
          <w:p>
            <w:pPr>
              <w:pStyle w:val="null3"/>
              <w:jc w:val="left"/>
            </w:pPr>
            <w:r>
              <w:rPr>
                <w:rFonts w:ascii="仿宋_GB2312" w:hAnsi="仿宋_GB2312" w:cs="仿宋_GB2312" w:eastAsia="仿宋_GB2312"/>
              </w:rPr>
              <w:t>合同包含的所有货物一次性供货（不接受分批供应）。</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jc w:val="both"/>
            </w:pPr>
            <w:r>
              <w:rPr>
                <w:rFonts w:ascii="仿宋_GB2312" w:hAnsi="仿宋_GB2312" w:cs="仿宋_GB2312" w:eastAsia="仿宋_GB2312"/>
                <w:sz w:val="21"/>
                <w:color w:val="000000"/>
              </w:rPr>
              <w:t>成交供应商提供</w:t>
            </w:r>
            <w:r>
              <w:rPr>
                <w:rFonts w:ascii="仿宋_GB2312" w:hAnsi="仿宋_GB2312" w:cs="仿宋_GB2312" w:eastAsia="仿宋_GB2312"/>
                <w:sz w:val="21"/>
                <w:color w:val="000000"/>
              </w:rPr>
              <w:t>7*24小时技术支持，接到故障报修后30分钟内响应，4小时内到达现场，24小时内排除故障</w:t>
            </w:r>
            <w:r>
              <w:rPr>
                <w:rFonts w:ascii="仿宋_GB2312" w:hAnsi="仿宋_GB2312" w:cs="仿宋_GB2312" w:eastAsia="仿宋_GB2312"/>
                <w:sz w:val="21"/>
                <w:color w:val="000000"/>
              </w:rPr>
              <w:t>。</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知识产权归属和处理方式</w:t>
            </w:r>
          </w:p>
        </w:tc>
        <w:tc>
          <w:tcPr>
            <w:tcW w:type="dxa" w:w="5814"/>
          </w:tcPr>
          <w:p>
            <w:pPr>
              <w:pStyle w:val="null3"/>
              <w:jc w:val="both"/>
            </w:pPr>
            <w:r>
              <w:rPr>
                <w:rFonts w:ascii="仿宋_GB2312" w:hAnsi="仿宋_GB2312" w:cs="仿宋_GB2312" w:eastAsia="仿宋_GB2312"/>
                <w:sz w:val="21"/>
                <w:color w:val="000000"/>
              </w:rPr>
              <w:t>采购人享有本项目实施过程中产生的知识成果及知识产权。供应商应保证所提供的货物、服务或其任何一部分均不会侵犯任何第三方的专利权、商标权或著作权。供应商保证所提供的货物和服务的所有权完全属于供应商且无任何抵押、查封等产权瑕疵。如有产权瑕疵的，视为供应商违约。供应商应负担由此而产生的一切损失。</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自合同签订之日起15日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巴中市巴州区第三小学校</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1、合同签订后，所有货物送达到学校经相关人员（主管局业务股室：4-5人、评审库抽取专家：2人、通过符合性审查且参与有效报价的供应商等）初验合格后，且收到乙方的合法票据15 日内，支付合同总金额的 40 %；，达到付款条件起15日内，支付合同总金额的40.00%</w:t>
            </w:r>
          </w:p>
          <w:p>
            <w:pPr>
              <w:pStyle w:val="null3"/>
              <w:jc w:val="left"/>
            </w:pPr>
            <w:r>
              <w:rPr>
                <w:rFonts w:ascii="仿宋_GB2312" w:hAnsi="仿宋_GB2312" w:cs="仿宋_GB2312" w:eastAsia="仿宋_GB2312"/>
              </w:rPr>
              <w:t>2、项目终验合格后，达到付款条件 15 日内，支付余下合同总金额的 60 %。，达到付款条件起15日内，支付合同总金额的60.00%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严格按照《财政部关于进一步加强采购需求和履约验收管理的指导意见》的通知(财库(2016)205号)及《政府采购需求管理办法》(财库(2021)22号)的要求、采购文件规定的要求和响应文件及合同承诺的内容进行验收；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质保期 3 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违约责任(1)采购人逾期支付货款的，除应及时付足货款外，应向供应商偿付欠款总额万分之三/天的违约金;逾期付款超过15天的，供应商有权终止合同;(2)采购人偿付的违约金不足以弥补供应商损失的，还应按供应商损失尚未弥补的部分，支付赔偿金给供应商。 2、供应商违约责任(1)供应商交付的货物质量与询价文件要求的;响应文件响应的;合同约定的以上3项如不相符合，供应商应向采购人支付合同总价的百分之三十的违约金，并须在合同规定的交货时间内更换合格的货物给采购人，否则，视作供应商不能交付货物而违约，按本条本款下述第“(2)”项规定由供应商偿付违约赔偿金给采购人。(2)供应商不能交付货物或逾期交付货物而违约的，除应及时交足货物外，应向采购人偿付逾期交货部分货款总额的万分之三/天的违约金:逾期交货超过15天，采购人有权终止合同，供应商则应按合同总价的百分之三十的款额向采购人偿付赔偿金，并须全额退还采购人已经付给供应商的货款及其利息。(3)供应商货物经采购人送交具有法定资格条件的质量技术监督机构检测后，如检测结果认定货物质量不符合本合同规定标准的，则视为供应商没有按时交货而违约，供应商须在15天内无条件更换合格的货物，如逾期不能更换合格的货物，采购人有权终止本合同，供应商应另付合同总价的百分之三十的赔偿金给采购人。(4)供应商保证本合同货物的权利无瑕疵，包括货物所有权及知识产权等权利无瑕疵。如任何第三方经法院(或仲裁机构)裁决有权对上述货物主张权利或国家机关依法对货物进行没收查处的,供应商除应向采购人返还已收款项外,还应另按合同总价的百分之三十向采购人支付违约金并赔偿因此给采购人造成的一切损失。(5)供应商偿付的违约金不足以弥补采购人损失的，还应按采购人损失尚未弥补的部分，支付赔偿金给采购人。争议解决的方式包括协商、仲裁、诉讼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评审办法</w:t>
      </w:r>
    </w:p>
    <w:p>
      <w:pPr>
        <w:pStyle w:val="null3"/>
        <w:jc w:val="left"/>
        <w:outlineLvl w:val="2"/>
      </w:pPr>
      <w:r>
        <w:rPr>
          <w:rFonts w:ascii="仿宋_GB2312" w:hAnsi="仿宋_GB2312" w:cs="仿宋_GB2312" w:eastAsia="仿宋_GB2312"/>
          <w:sz w:val="28"/>
          <w:b/>
        </w:rPr>
        <w:t>4.1.总则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询价评审办法。</w:t>
      </w:r>
    </w:p>
    <w:p>
      <w:pPr>
        <w:pStyle w:val="null3"/>
        <w:ind w:firstLine="480"/>
        <w:jc w:val="left"/>
      </w:pPr>
      <w:r>
        <w:rPr>
          <w:rFonts w:ascii="仿宋_GB2312" w:hAnsi="仿宋_GB2312" w:cs="仿宋_GB2312" w:eastAsia="仿宋_GB2312"/>
        </w:rPr>
        <w:t>二、评审工作由代理机构组织，具体评审事务由依法组建的询价小组负责，询价小组由采购人代表和评审专家组成。</w:t>
      </w:r>
    </w:p>
    <w:p>
      <w:pPr>
        <w:pStyle w:val="null3"/>
        <w:ind w:firstLine="480"/>
        <w:jc w:val="left"/>
      </w:pPr>
      <w:r>
        <w:rPr>
          <w:rFonts w:ascii="仿宋_GB2312" w:hAnsi="仿宋_GB2312" w:cs="仿宋_GB2312" w:eastAsia="仿宋_GB2312"/>
        </w:rPr>
        <w:t>三、评审工作应遵循客观、公正、审慎的原则，根据询价通知书规定的评审程序、评审方法和评审标准进行独立评审。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四、本项目采取电子评审，通过交易系统完成评审工作。询价小组成员、采购人、代理机构和供应商应当按照本询价通知书规定和交易系统操作要求开展或者参加评审活动。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询价小组成员在签署询价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4.2.询价小组</w:t>
      </w:r>
    </w:p>
    <w:p>
      <w:pPr>
        <w:pStyle w:val="null3"/>
        <w:ind w:firstLine="480"/>
        <w:jc w:val="left"/>
      </w:pPr>
      <w:r>
        <w:rPr>
          <w:rFonts w:ascii="仿宋_GB2312" w:hAnsi="仿宋_GB2312" w:cs="仿宋_GB2312" w:eastAsia="仿宋_GB2312"/>
        </w:rPr>
        <w:t>一、本项目询价小组成员人数应为3人以上单数，其中评审专家不得少于成员总数的三分之二。采购预算金额达到公开招标数额标准的货物，询价小组成员人数应为5人以上单数。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二、询价小组成员应当满足并适应电子化采购评审的工作需要，登录交易系统进入项目评审功能模块确认身份、签到、推荐询价小组组长。采购人代表可以使用采购人代表专用签章确认评审意见。</w:t>
      </w:r>
    </w:p>
    <w:p>
      <w:pPr>
        <w:pStyle w:val="null3"/>
        <w:ind w:firstLine="480"/>
        <w:jc w:val="left"/>
      </w:pPr>
      <w:r>
        <w:rPr>
          <w:rFonts w:ascii="仿宋_GB2312" w:hAnsi="仿宋_GB2312" w:cs="仿宋_GB2312" w:eastAsia="仿宋_GB2312"/>
        </w:rPr>
        <w:t>三、询价小组成员获取解密后的响应文件，开展评审活动。出现评审专家请假、回避等情况时，采购人或者代理机构按规定申请补充抽取评审专家。无法及时补充抽取的，采购人或者代理机构应当封存供应商响应文件，按规定重新组建询价小组，解封响应文件后，开展评审活动。</w:t>
      </w:r>
    </w:p>
    <w:p>
      <w:pPr>
        <w:pStyle w:val="null3"/>
        <w:ind w:firstLine="480"/>
        <w:jc w:val="left"/>
      </w:pPr>
      <w:r>
        <w:rPr>
          <w:rFonts w:ascii="仿宋_GB2312" w:hAnsi="仿宋_GB2312" w:cs="仿宋_GB2312" w:eastAsia="仿宋_GB2312"/>
        </w:rPr>
        <w:t>四、询价小组应当履行下列职责：</w:t>
      </w:r>
    </w:p>
    <w:p>
      <w:pPr>
        <w:pStyle w:val="null3"/>
        <w:ind w:firstLine="480"/>
        <w:jc w:val="left"/>
      </w:pPr>
      <w:r>
        <w:rPr>
          <w:rFonts w:ascii="仿宋_GB2312" w:hAnsi="仿宋_GB2312" w:cs="仿宋_GB2312" w:eastAsia="仿宋_GB2312"/>
        </w:rPr>
        <w:t>（一）熟悉和理解询价通知书；</w:t>
      </w:r>
    </w:p>
    <w:p>
      <w:pPr>
        <w:pStyle w:val="null3"/>
        <w:ind w:firstLine="480"/>
        <w:jc w:val="left"/>
      </w:pPr>
      <w:r>
        <w:rPr>
          <w:rFonts w:ascii="仿宋_GB2312" w:hAnsi="仿宋_GB2312" w:cs="仿宋_GB2312" w:eastAsia="仿宋_GB2312"/>
        </w:rPr>
        <w:t>（二）审查、评价供应商响应文件等是否满足询价通知书要求；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（四）根据需要要求采购人、代理机构对询价通知书作出解释；根据需要要求供应商对响应文件有关事项作出澄清、说明或者更正；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（六）起草资格审查报告、询价报告并进行签署；</w:t>
      </w:r>
    </w:p>
    <w:p>
      <w:pPr>
        <w:pStyle w:val="null3"/>
        <w:ind w:firstLine="480"/>
        <w:jc w:val="left"/>
      </w:pPr>
      <w:r>
        <w:rPr>
          <w:rFonts w:ascii="仿宋_GB2312" w:hAnsi="仿宋_GB2312" w:cs="仿宋_GB2312" w:eastAsia="仿宋_GB2312"/>
        </w:rPr>
        <w:t>（七）向采购人、代理机构或者有关部门报告协商中发现的违法行为；</w:t>
      </w:r>
    </w:p>
    <w:p>
      <w:pPr>
        <w:pStyle w:val="null3"/>
        <w:ind w:firstLine="480"/>
        <w:jc w:val="left"/>
      </w:pPr>
      <w:r>
        <w:rPr>
          <w:rFonts w:ascii="仿宋_GB2312" w:hAnsi="仿宋_GB2312" w:cs="仿宋_GB2312" w:eastAsia="仿宋_GB2312"/>
        </w:rPr>
        <w:t>（八）按规定告知供应商，未实质性响应询价通知书的响应文件按无效响应处理；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4.3.评审程序</w:t>
      </w:r>
    </w:p>
    <w:p>
      <w:pPr>
        <w:pStyle w:val="null3"/>
        <w:jc w:val="left"/>
        <w:outlineLvl w:val="3"/>
      </w:pPr>
      <w:r>
        <w:rPr>
          <w:rFonts w:ascii="仿宋_GB2312" w:hAnsi="仿宋_GB2312" w:cs="仿宋_GB2312" w:eastAsia="仿宋_GB2312"/>
          <w:sz w:val="24"/>
          <w:b/>
        </w:rPr>
        <w:t>4.3.1.熟悉和理解询价通知书</w:t>
      </w:r>
    </w:p>
    <w:p>
      <w:pPr>
        <w:pStyle w:val="null3"/>
        <w:ind w:firstLine="480"/>
        <w:jc w:val="left"/>
      </w:pPr>
      <w:r>
        <w:rPr>
          <w:rFonts w:ascii="仿宋_GB2312" w:hAnsi="仿宋_GB2312" w:cs="仿宋_GB2312" w:eastAsia="仿宋_GB2312"/>
        </w:rPr>
        <w:t>询价小组正式评审前，应当对询价通知书进行熟悉和理解，内容主要包括询价通知书中供应商资格条件要求、采购项目技术、服务和商务要求、评审方法和标准以及政府采购合同的内容等。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4.3.2.停止评审的情形</w:t>
      </w:r>
    </w:p>
    <w:p>
      <w:pPr>
        <w:pStyle w:val="null3"/>
        <w:ind w:firstLine="480"/>
        <w:jc w:val="left"/>
      </w:pPr>
      <w:r>
        <w:rPr>
          <w:rFonts w:ascii="仿宋_GB2312" w:hAnsi="仿宋_GB2312" w:cs="仿宋_GB2312" w:eastAsia="仿宋_GB2312"/>
        </w:rPr>
        <w:t>询价小组熟悉和理解询价通知书以及评审过程中，发现本询价通知书有下列情形之一的，询价小组应当停止评审：</w:t>
      </w:r>
    </w:p>
    <w:p>
      <w:pPr>
        <w:pStyle w:val="null3"/>
        <w:ind w:firstLine="480"/>
        <w:jc w:val="left"/>
      </w:pPr>
      <w:r>
        <w:rPr>
          <w:rFonts w:ascii="仿宋_GB2312" w:hAnsi="仿宋_GB2312" w:cs="仿宋_GB2312" w:eastAsia="仿宋_GB2312"/>
        </w:rPr>
        <w:t>一、询价通知书的规定存在歧义、重大缺陷，导致评审工作无法进行的；</w:t>
      </w:r>
    </w:p>
    <w:p>
      <w:pPr>
        <w:pStyle w:val="null3"/>
        <w:ind w:firstLine="480"/>
        <w:jc w:val="left"/>
      </w:pPr>
      <w:r>
        <w:rPr>
          <w:rFonts w:ascii="仿宋_GB2312" w:hAnsi="仿宋_GB2312" w:cs="仿宋_GB2312" w:eastAsia="仿宋_GB2312"/>
        </w:rPr>
        <w:t>二、询价通知书明显以不合理条件对供应商实行差别待遇或者歧视待遇的；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四、采购项目属于政府采购促进中小企业发展的范围，但是询价通知书未依法体现促进中小企业发展相关规定的；</w:t>
      </w:r>
    </w:p>
    <w:p>
      <w:pPr>
        <w:pStyle w:val="null3"/>
        <w:ind w:firstLine="480"/>
        <w:jc w:val="left"/>
      </w:pPr>
      <w:r>
        <w:rPr>
          <w:rFonts w:ascii="仿宋_GB2312" w:hAnsi="仿宋_GB2312" w:cs="仿宋_GB2312" w:eastAsia="仿宋_GB2312"/>
        </w:rPr>
        <w:t>五、询价通知书载明的成交原则不合法的；</w:t>
      </w:r>
    </w:p>
    <w:p>
      <w:pPr>
        <w:pStyle w:val="null3"/>
        <w:ind w:firstLine="480"/>
        <w:jc w:val="left"/>
      </w:pPr>
      <w:r>
        <w:rPr>
          <w:rFonts w:ascii="仿宋_GB2312" w:hAnsi="仿宋_GB2312" w:cs="仿宋_GB2312" w:eastAsia="仿宋_GB2312"/>
        </w:rPr>
        <w:t>六、询价通知书有违反国家其他有关强制性规定的情形。</w:t>
      </w:r>
    </w:p>
    <w:p>
      <w:pPr>
        <w:pStyle w:val="null3"/>
        <w:ind w:firstLine="480"/>
        <w:jc w:val="left"/>
      </w:pPr>
      <w:r>
        <w:rPr>
          <w:rFonts w:ascii="仿宋_GB2312" w:hAnsi="仿宋_GB2312" w:cs="仿宋_GB2312" w:eastAsia="仿宋_GB2312"/>
        </w:rPr>
        <w:t>出现上述应当停止评审情形的，询价小组应当通过交易系统向采购组织单位提交相关说明材料，说明停止评审的情形和具体理由。除上述情形外，询价小组不得以任何方式和理由停止评审。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询价小组不应当停止评审的，可以通过交易系统书面报告采购项目同级财政部门依法处理，并提供相关证明材料。</w:t>
      </w:r>
    </w:p>
    <w:p>
      <w:pPr>
        <w:pStyle w:val="null3"/>
        <w:jc w:val="left"/>
        <w:outlineLvl w:val="3"/>
      </w:pPr>
      <w:r>
        <w:rPr>
          <w:rFonts w:ascii="仿宋_GB2312" w:hAnsi="仿宋_GB2312" w:cs="仿宋_GB2312" w:eastAsia="仿宋_GB2312"/>
          <w:sz w:val="24"/>
          <w:b/>
        </w:rPr>
        <w:t>4.3.3.资格审查</w:t>
      </w:r>
    </w:p>
    <w:p>
      <w:pPr>
        <w:pStyle w:val="null3"/>
        <w:ind w:firstLine="480"/>
        <w:jc w:val="left"/>
      </w:pPr>
      <w:r>
        <w:rPr>
          <w:rFonts w:ascii="仿宋_GB2312" w:hAnsi="仿宋_GB2312" w:cs="仿宋_GB2312" w:eastAsia="仿宋_GB2312"/>
        </w:rPr>
        <w:t>网上开启完成后，由询价小组依据法律法规和询价通知书的规定，对成功解密的响应文件中供应商资格证明等进行审查并出具资格审查报告。资格审查标准及要求如下：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4.3.3.1.一般资格审查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提供财务状况报告（以下四者任选其一）： （1）可提供近两年任一年度经审计的财务报告（包含审计报告和审计报告中所涉及的财务报表和报表附注）。 （2）可提供近两年任一年度投标人完整的全套财务报表（应当包括资产负债表、利润表、现金流量表、所有者权益变动表、附注）。 （3）可提供截至投标截止日一年内银行出具的资信证明。 （4）供应商注册时间截至投标截止日不足一年的，也可提供在工商管理部门备案的公司章程。</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4.3.3.2.落实政府采购政策资格审查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4.3.4.符合性审查</w:t>
      </w:r>
    </w:p>
    <w:p>
      <w:pPr>
        <w:pStyle w:val="null3"/>
        <w:ind w:firstLine="480"/>
        <w:jc w:val="left"/>
      </w:pPr>
      <w:r>
        <w:rPr>
          <w:rFonts w:ascii="仿宋_GB2312" w:hAnsi="仿宋_GB2312" w:cs="仿宋_GB2312" w:eastAsia="仿宋_GB2312"/>
        </w:rPr>
        <w:t>询价小组依据本询价通知书的符合性审查要求，对符合资格要求供应商的响应文件有效性、完整性和响应程度进行审查。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在符合性审查过程中，如果出现询价小组成员意见不一致的情况，按照少数服从多数的原则确定，但不得违反政府采购基本原则和询价通知书规定。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符合询价通知书的其他实质性要求。</w:t>
            </w:r>
          </w:p>
        </w:tc>
        <w:tc>
          <w:tcPr>
            <w:tcW w:type="dxa" w:w="3322"/>
          </w:tcPr>
          <w:p>
            <w:pPr>
              <w:pStyle w:val="null3"/>
              <w:jc w:val="left"/>
            </w:pPr>
            <w:r>
              <w:rPr>
                <w:rFonts w:ascii="仿宋_GB2312" w:hAnsi="仿宋_GB2312" w:cs="仿宋_GB2312" w:eastAsia="仿宋_GB2312"/>
              </w:rPr>
              <w:t>符合文件要求。</w:t>
            </w:r>
          </w:p>
        </w:tc>
        <w:tc>
          <w:tcPr>
            <w:tcW w:type="dxa" w:w="1910"/>
          </w:tcPr>
          <w:p>
            <w:pPr>
              <w:pStyle w:val="null3"/>
              <w:jc w:val="left"/>
            </w:pPr>
            <w:r>
              <w:rPr>
                <w:rFonts w:ascii="仿宋_GB2312" w:hAnsi="仿宋_GB2312" w:cs="仿宋_GB2312" w:eastAsia="仿宋_GB2312"/>
              </w:rPr>
              <w:t>产品技术参数响应表,供应商应提交的相关证明材料,服务应答表,投标（响应）函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强制采购的节能产品。</w:t>
            </w:r>
          </w:p>
        </w:tc>
        <w:tc>
          <w:tcPr>
            <w:tcW w:type="dxa" w:w="3322"/>
          </w:tcPr>
          <w:p>
            <w:pPr>
              <w:pStyle w:val="null3"/>
              <w:jc w:val="left"/>
            </w:pPr>
            <w:r>
              <w:rPr>
                <w:rFonts w:ascii="仿宋_GB2312" w:hAnsi="仿宋_GB2312" w:cs="仿宋_GB2312" w:eastAsia="仿宋_GB2312"/>
              </w:rPr>
              <w:t>本项目中智慧黑板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响应文件满足以上符合性审查要求的，则通过符合性审查；如有任意一项未满足符合性审查要求的，则按无效响应处理，并在询价报告中载明未通过符合性审查的具体原因。</w:t>
      </w:r>
    </w:p>
    <w:p>
      <w:pPr>
        <w:pStyle w:val="null3"/>
        <w:jc w:val="left"/>
        <w:outlineLvl w:val="3"/>
      </w:pPr>
      <w:r>
        <w:rPr>
          <w:rFonts w:ascii="仿宋_GB2312" w:hAnsi="仿宋_GB2312" w:cs="仿宋_GB2312" w:eastAsia="仿宋_GB2312"/>
          <w:sz w:val="24"/>
          <w:b/>
        </w:rPr>
        <w:t>4.3.5.解释、澄清、说明的有关问题</w:t>
      </w:r>
    </w:p>
    <w:p>
      <w:pPr>
        <w:pStyle w:val="null3"/>
        <w:ind w:firstLine="480"/>
        <w:jc w:val="left"/>
      </w:pPr>
      <w:r>
        <w:rPr>
          <w:rFonts w:ascii="仿宋_GB2312" w:hAnsi="仿宋_GB2312" w:cs="仿宋_GB2312" w:eastAsia="仿宋_GB2312"/>
        </w:rPr>
        <w:t>一、评审过程中，询价小组认为询价通知书有关事项表述不明确或需要说明的，可以要求采购人或者代理机构书面解释。采购人或者代理机构的解释不得改变询价通知书的原义或者影响公平、公正。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询价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三、响应文件报价出现前后不一致的，除询价通知书另有规定外，按照下列规定修正：</w:t>
      </w:r>
    </w:p>
    <w:p>
      <w:pPr>
        <w:pStyle w:val="null3"/>
        <w:ind w:firstLine="480"/>
        <w:jc w:val="left"/>
      </w:pPr>
      <w:r>
        <w:rPr>
          <w:rFonts w:ascii="仿宋_GB2312" w:hAnsi="仿宋_GB2312" w:cs="仿宋_GB2312" w:eastAsia="仿宋_GB2312"/>
        </w:rPr>
        <w:t>（一）响应文件中报价表内容与响应文件中相应内容不一致的，以报价表为准；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同时出现两种以上不一致的，按照前款规定的顺序修正。修正后的报价经供应商确认后产生约束力，供应商不确认的，作无效响应处理。</w:t>
      </w:r>
    </w:p>
    <w:p>
      <w:pPr>
        <w:pStyle w:val="null3"/>
        <w:ind w:firstLine="480"/>
        <w:jc w:val="left"/>
      </w:pPr>
      <w:r>
        <w:rPr>
          <w:rFonts w:ascii="仿宋_GB2312" w:hAnsi="仿宋_GB2312" w:cs="仿宋_GB2312" w:eastAsia="仿宋_GB2312"/>
        </w:rPr>
        <w:t>四、代理机构宣布评审结束之前，供应商应通过交易系统随时关注评审消息提示，及时响应询价小组发出的澄清、说明或者更正要求。供应商未能及时响应的，自行承担不利后果。</w:t>
      </w:r>
    </w:p>
    <w:p>
      <w:pPr>
        <w:pStyle w:val="null3"/>
        <w:ind w:firstLine="480"/>
        <w:jc w:val="left"/>
      </w:pPr>
      <w:r>
        <w:rPr>
          <w:rFonts w:ascii="仿宋_GB2312" w:hAnsi="仿宋_GB2312" w:cs="仿宋_GB2312" w:eastAsia="仿宋_GB2312"/>
        </w:rPr>
        <w:t>五、询价小组应当积极履行澄清、说明或者更正的职责，不得滥用权力。供应商的响应文件可以要求澄清、说明或者更正的，不得未经澄清、说明或者更正而直接作无效响应处理。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4.3.6.询价小组复核</w:t>
      </w:r>
    </w:p>
    <w:p>
      <w:pPr>
        <w:pStyle w:val="null3"/>
        <w:ind w:firstLine="480"/>
        <w:jc w:val="left"/>
      </w:pPr>
      <w:r>
        <w:rPr>
          <w:rFonts w:ascii="仿宋_GB2312" w:hAnsi="仿宋_GB2312" w:cs="仿宋_GB2312" w:eastAsia="仿宋_GB2312"/>
        </w:rPr>
        <w:t>评审结束后，询价小组应当进行复核，特别要对拟推荐为成交候选供应商的、报价最低的、响应文件被认定为无效的进行重点复核。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4.3.7.代理机构现场复核评审结果</w:t>
      </w:r>
    </w:p>
    <w:p>
      <w:pPr>
        <w:pStyle w:val="null3"/>
        <w:ind w:firstLine="480"/>
        <w:jc w:val="left"/>
      </w:pPr>
      <w:r>
        <w:rPr>
          <w:rFonts w:ascii="仿宋_GB2312" w:hAnsi="仿宋_GB2312" w:cs="仿宋_GB2312" w:eastAsia="仿宋_GB2312"/>
        </w:rPr>
        <w:t>一、询价小组拟出具询价报告前，代理机构应当组织2名以上的本单位工作人员，在采购现场监督人员的监督之下，依据有关的法律制度和询价通知书对评审结果进行复核，出具复核报告。存在资格审查认定错误的，代理机构应当根据情况书面建议询价小组现场修改评审结果或者重新评审，由询价小组自主决定是否采纳代理机构的书面建议，并承担独立评审责任。</w:t>
      </w:r>
    </w:p>
    <w:p>
      <w:pPr>
        <w:pStyle w:val="null3"/>
        <w:ind w:firstLine="480"/>
        <w:jc w:val="left"/>
      </w:pPr>
      <w:r>
        <w:rPr>
          <w:rFonts w:ascii="仿宋_GB2312" w:hAnsi="仿宋_GB2312" w:cs="仿宋_GB2312" w:eastAsia="仿宋_GB2312"/>
        </w:rPr>
        <w:t>二、询价小组采纳代理机构书面建议的，应当按照规定现场通过交易系统修改评审结果或者重新评审，并在询价报告中详细记载有关事宜；不采纳代理机构书面建议的，应当书面说明理由。代理机构书面建议未被询价小组采纳的，应当按照规定程序要求继续组织实施采购活动，不得擅自中止采购活动。代理机构认为询价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三、代理机构复核过程中，询价小组成员不得离开评审现场。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询价小组未按照询价通知书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4.3.8.推荐成交候选供应商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响应报价从低到高顺序排列，响应文件满足询价通知书全部实质性要求且响应报价最低的供应商为排名第一的成交候选供应商。响应报价相同的，按供应商提供的经评审认定有效的优先采购产品认证证书数量由多到少顺序排列；响应报价且提供的经评审认定有效的优先采购产品认证证书数量相同的并列。供应商响应的产品同时具有节能产品认证证书、环境标志产品认证证书的，按认定有效的节能产品认证证书、环境标志产品认证证书数量累计计算。成交供应商并列的，由询价小组根据询价通知书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响应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询价小组按照随机抽取方式确定一名供应商参加评审，其他作无效响应处理。</w:t>
      </w:r>
    </w:p>
    <w:p>
      <w:pPr>
        <w:pStyle w:val="null3"/>
        <w:jc w:val="left"/>
        <w:outlineLvl w:val="3"/>
      </w:pPr>
      <w:r>
        <w:rPr>
          <w:rFonts w:ascii="仿宋_GB2312" w:hAnsi="仿宋_GB2312" w:cs="仿宋_GB2312" w:eastAsia="仿宋_GB2312"/>
          <w:sz w:val="24"/>
          <w:b/>
        </w:rPr>
        <w:t>4.3.9.出具询价报告</w:t>
      </w:r>
    </w:p>
    <w:p>
      <w:pPr>
        <w:pStyle w:val="null3"/>
        <w:ind w:firstLine="480"/>
        <w:jc w:val="left"/>
      </w:pPr>
      <w:r>
        <w:rPr>
          <w:rFonts w:ascii="仿宋_GB2312" w:hAnsi="仿宋_GB2312" w:cs="仿宋_GB2312" w:eastAsia="仿宋_GB2312"/>
        </w:rPr>
        <w:t>询价小组推荐成交候选供应商后，应向代理机构出具询价报告。询价报告应当包括以下主要内容：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二、响应文件开启日期和地点，询价小组成员名单；</w:t>
      </w:r>
    </w:p>
    <w:p>
      <w:pPr>
        <w:pStyle w:val="null3"/>
        <w:ind w:firstLine="480"/>
        <w:jc w:val="left"/>
      </w:pPr>
      <w:r>
        <w:rPr>
          <w:rFonts w:ascii="仿宋_GB2312" w:hAnsi="仿宋_GB2312" w:cs="仿宋_GB2312" w:eastAsia="仿宋_GB2312"/>
        </w:rPr>
        <w:t>三、提交报价的供应商名单及报价情况，获取询价通知书但未提交报价的供应商名单；</w:t>
      </w:r>
    </w:p>
    <w:p>
      <w:pPr>
        <w:pStyle w:val="null3"/>
        <w:ind w:firstLine="480"/>
        <w:jc w:val="left"/>
      </w:pPr>
      <w:r>
        <w:rPr>
          <w:rFonts w:ascii="仿宋_GB2312" w:hAnsi="仿宋_GB2312" w:cs="仿宋_GB2312" w:eastAsia="仿宋_GB2312"/>
        </w:rPr>
        <w:t>四、评审情况记录和说明，包括对供应商的资格审查情况、供应商响应文件评审情况、询价采购活动情况、报价情况等；</w:t>
      </w:r>
    </w:p>
    <w:p>
      <w:pPr>
        <w:pStyle w:val="null3"/>
        <w:ind w:firstLine="480"/>
        <w:jc w:val="left"/>
      </w:pPr>
      <w:r>
        <w:rPr>
          <w:rFonts w:ascii="仿宋_GB2312" w:hAnsi="仿宋_GB2312" w:cs="仿宋_GB2312" w:eastAsia="仿宋_GB2312"/>
        </w:rPr>
        <w:t>五、推荐的成交候选供应商的排序名单及理由。</w:t>
      </w:r>
    </w:p>
    <w:p>
      <w:pPr>
        <w:pStyle w:val="null3"/>
        <w:ind w:firstLine="480"/>
        <w:jc w:val="left"/>
      </w:pPr>
      <w:r>
        <w:rPr>
          <w:rFonts w:ascii="仿宋_GB2312" w:hAnsi="仿宋_GB2312" w:cs="仿宋_GB2312" w:eastAsia="仿宋_GB2312"/>
        </w:rPr>
        <w:t>询价报告应当由询价小组全体人员签字或加盖电子印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询价报告上签字或加盖电子印章又不说明其不同意见和理由的，视为同意询价报告。</w:t>
      </w:r>
    </w:p>
    <w:p>
      <w:pPr>
        <w:pStyle w:val="null3"/>
        <w:jc w:val="left"/>
        <w:outlineLvl w:val="3"/>
      </w:pPr>
      <w:r>
        <w:rPr>
          <w:rFonts w:ascii="仿宋_GB2312" w:hAnsi="仿宋_GB2312" w:cs="仿宋_GB2312" w:eastAsia="仿宋_GB2312"/>
          <w:sz w:val="24"/>
          <w:b/>
        </w:rPr>
        <w:t>4.3.10.询价争议处理规则</w:t>
      </w:r>
    </w:p>
    <w:p>
      <w:pPr>
        <w:pStyle w:val="null3"/>
        <w:ind w:firstLine="480"/>
        <w:jc w:val="left"/>
      </w:pPr>
      <w:r>
        <w:rPr>
          <w:rFonts w:ascii="仿宋_GB2312" w:hAnsi="仿宋_GB2312" w:cs="仿宋_GB2312" w:eastAsia="仿宋_GB2312"/>
        </w:rPr>
        <w:t>询价小组在询价过程中，对于资格审查、符合性审查、对供应商响应文件作无效处理及其他需要共同认定的事项存在争议的，应当以少数服从多数的原则作出结论，但不得违反法律法规和询价通知书规定。对询价报告有异议的，应当在询价报告上签署不同意见并说明理由，否则视为同意询价报告。持不同意见的询价小组成员认为认定过程和结果不符合法律法规或者询价通知书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4.4.评审方法、细则及标准</w:t>
      </w:r>
    </w:p>
    <w:p>
      <w:pPr>
        <w:pStyle w:val="null3"/>
        <w:jc w:val="left"/>
      </w:pPr>
      <w:r>
        <w:rPr>
          <w:rFonts w:ascii="仿宋_GB2312" w:hAnsi="仿宋_GB2312" w:cs="仿宋_GB2312" w:eastAsia="仿宋_GB2312"/>
          <w:b/>
        </w:rPr>
        <w:t>4.4.1.评审方法</w:t>
      </w:r>
    </w:p>
    <w:p>
      <w:pPr>
        <w:pStyle w:val="null3"/>
        <w:ind w:firstLine="480"/>
        <w:jc w:val="left"/>
      </w:pPr>
      <w:r>
        <w:rPr>
          <w:rFonts w:ascii="仿宋_GB2312" w:hAnsi="仿宋_GB2312" w:cs="仿宋_GB2312" w:eastAsia="仿宋_GB2312"/>
        </w:rPr>
        <w:t>最低评标价法，是指响应文件满足询价通知书全部实质性要求且响应报价最低的供应商为成交候选供应商的评审方法。</w:t>
      </w:r>
    </w:p>
    <w:p>
      <w:pPr>
        <w:pStyle w:val="null3"/>
        <w:jc w:val="left"/>
      </w:pPr>
      <w:r>
        <w:rPr>
          <w:rFonts w:ascii="仿宋_GB2312" w:hAnsi="仿宋_GB2312" w:cs="仿宋_GB2312" w:eastAsia="仿宋_GB2312"/>
          <w:b/>
        </w:rPr>
        <w:t>4.4.2.评审细则及标准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4.5.终止采购活动</w:t>
      </w:r>
    </w:p>
    <w:p>
      <w:pPr>
        <w:pStyle w:val="null3"/>
        <w:ind w:firstLine="480"/>
        <w:jc w:val="left"/>
      </w:pPr>
      <w:r>
        <w:rPr>
          <w:rFonts w:ascii="仿宋_GB2312" w:hAnsi="仿宋_GB2312" w:cs="仿宋_GB2312" w:eastAsia="仿宋_GB2312"/>
        </w:rPr>
        <w:t>出现下列情形之一的，采购人或者代理机构应当终止询价采购活动，发布项目终止公告并说明原因，重新开展采购活动：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一、因情况变化，不再符合规定的询价采购方式适用情形的；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w:t>
      </w:r>
    </w:p>
    <w:p>
      <w:pPr>
        <w:pStyle w:val="null3"/>
        <w:jc w:val="left"/>
        <w:outlineLvl w:val="2"/>
      </w:pPr>
      <w:r>
        <w:rPr>
          <w:rFonts w:ascii="仿宋_GB2312" w:hAnsi="仿宋_GB2312" w:cs="仿宋_GB2312" w:eastAsia="仿宋_GB2312"/>
          <w:sz w:val="28"/>
          <w:b/>
        </w:rPr>
        <w:t>4.6.确定成交供应商</w:t>
      </w:r>
    </w:p>
    <w:p>
      <w:pPr>
        <w:pStyle w:val="null3"/>
        <w:ind w:firstLine="480"/>
        <w:jc w:val="left"/>
      </w:pPr>
      <w:r>
        <w:rPr>
          <w:rFonts w:ascii="仿宋_GB2312" w:hAnsi="仿宋_GB2312" w:cs="仿宋_GB2312" w:eastAsia="仿宋_GB2312"/>
        </w:rPr>
        <w:t>一、代理机构在询价结束后2个工作日内将询价报告送采购人。</w:t>
      </w:r>
    </w:p>
    <w:p>
      <w:pPr>
        <w:pStyle w:val="null3"/>
        <w:jc w:val="left"/>
      </w:pPr>
      <w:r>
        <w:rPr>
          <w:rFonts w:ascii="仿宋_GB2312" w:hAnsi="仿宋_GB2312" w:cs="仿宋_GB2312" w:eastAsia="仿宋_GB2312"/>
        </w:rPr>
        <w:t>二、采购人应当自收到评审报告之日起5个工作日内，在询价报告确定的成交候选供应商名单中按顺序确定1名成交供应商。采购人逾期未确定成交供应商且不提出异议的，视为确定询价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个工作日内，在四川政府采购网公告成交结果，询价通知书应当随成交结果同时公告。</w:t>
      </w:r>
    </w:p>
    <w:p>
      <w:pPr>
        <w:pStyle w:val="null3"/>
        <w:jc w:val="left"/>
        <w:outlineLvl w:val="2"/>
      </w:pPr>
      <w:r>
        <w:rPr>
          <w:rFonts w:ascii="仿宋_GB2312" w:hAnsi="仿宋_GB2312" w:cs="仿宋_GB2312" w:eastAsia="仿宋_GB2312"/>
          <w:sz w:val="28"/>
          <w:b/>
        </w:rPr>
        <w:t>4.7.询价小组义务</w:t>
      </w:r>
    </w:p>
    <w:p>
      <w:pPr>
        <w:pStyle w:val="null3"/>
        <w:ind w:firstLine="480"/>
        <w:jc w:val="left"/>
      </w:pPr>
      <w:r>
        <w:rPr>
          <w:rFonts w:ascii="仿宋_GB2312" w:hAnsi="仿宋_GB2312" w:cs="仿宋_GB2312" w:eastAsia="仿宋_GB2312"/>
        </w:rPr>
        <w:t>询价小组在政府采购活动中应当履行下列义务：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二、按照客观、公正、审慎的原则，根据询价通知书规定的评审程序、评审方法和评审标准进行独立评审；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五、发现询价通知书内容违反国家有关强制性规定或者存在歧义、重大缺陷导致评审工作无法进行时，停止评审并通过交易系统向代理机构书面说明情况，说明停止评审的情形和具体理由；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4.8.询价小组成员工作纪律</w:t>
      </w:r>
    </w:p>
    <w:p>
      <w:pPr>
        <w:pStyle w:val="null3"/>
        <w:ind w:firstLine="480"/>
        <w:jc w:val="left"/>
      </w:pPr>
      <w:r>
        <w:rPr>
          <w:rFonts w:ascii="仿宋_GB2312" w:hAnsi="仿宋_GB2312" w:cs="仿宋_GB2312" w:eastAsia="仿宋_GB2312"/>
        </w:rPr>
        <w:t>询价小组成员在政府采购活动中应当遵守下列工作纪律：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一、严格遵守政府采购法律制度关于询价小组成员回避的规定。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询价通知书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拟签订的合同文本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