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版本号：N511902202500003020250410001</w:t>
      </w:r>
    </w:p>
    <w:p>
      <w:pPr>
        <w:pStyle w:val="null3"/>
        <w:jc w:val="left"/>
        <w:outlineLvl w:val="0"/>
      </w:pPr>
      <w:r>
        <w:rPr>
          <w:rFonts w:ascii="仿宋_GB2312" w:hAnsi="仿宋_GB2312" w:cs="仿宋_GB2312" w:eastAsia="仿宋_GB2312"/>
          <w:sz w:val="48"/>
          <w:b/>
        </w:rPr>
        <w:t>询 价 通 知 书</w:t>
      </w:r>
    </w:p>
    <w:p>
      <w:pPr>
        <w:pStyle w:val="null3"/>
        <w:jc w:val="center"/>
        <w:outlineLvl w:val="0"/>
      </w:pPr>
      <w:r>
        <w:rPr>
          <w:rFonts w:ascii="仿宋_GB2312" w:hAnsi="仿宋_GB2312" w:cs="仿宋_GB2312" w:eastAsia="仿宋_GB2312"/>
          <w:sz w:val="48"/>
          <w:b/>
        </w:rPr>
        <w:t>（货物类）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全民健身中心LED大屏等设备</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N5119022025000030</w:t>
      </w:r>
    </w:p>
    <w:p>
      <w:pPr>
        <w:pStyle w:val="null3"/>
        <w:jc w:val="left"/>
        <w:outlineLvl w:val="2"/>
      </w:pPr>
      <w:r>
        <w:rPr>
          <w:rFonts w:ascii="仿宋_GB2312" w:hAnsi="仿宋_GB2312" w:cs="仿宋_GB2312" w:eastAsia="仿宋_GB2312"/>
          <w:sz w:val="28"/>
          <w:b/>
        </w:rPr>
        <w:t>巴中市巴州区教育科技局</w:t>
      </w:r>
    </w:p>
    <w:p>
      <w:pPr>
        <w:pStyle w:val="null3"/>
        <w:jc w:val="center"/>
        <w:outlineLvl w:val="2"/>
      </w:pPr>
      <w:r>
        <w:rPr>
          <w:rFonts w:ascii="仿宋_GB2312" w:hAnsi="仿宋_GB2312" w:cs="仿宋_GB2312" w:eastAsia="仿宋_GB2312"/>
          <w:sz w:val="28"/>
          <w:b/>
        </w:rPr>
        <w:t>巴中市巴州区政府采购中心</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2025年04月10日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询价邀请</w:t>
      </w:r>
    </w:p>
    <w:p>
      <w:pPr>
        <w:pStyle w:val="null3"/>
        <w:ind w:firstLine="480"/>
        <w:jc w:val="left"/>
      </w:pPr>
      <w:r>
        <w:rPr>
          <w:rFonts w:ascii="仿宋_GB2312" w:hAnsi="仿宋_GB2312" w:cs="仿宋_GB2312" w:eastAsia="仿宋_GB2312"/>
        </w:rPr>
        <w:t>巴中市巴州区政府采购中心</w:t>
      </w:r>
      <w:r>
        <w:rPr>
          <w:rFonts w:ascii="仿宋_GB2312" w:hAnsi="仿宋_GB2312" w:cs="仿宋_GB2312" w:eastAsia="仿宋_GB2312"/>
        </w:rPr>
        <w:t xml:space="preserve"> （以下简称“代理机构”）受 </w:t>
      </w:r>
      <w:r>
        <w:rPr>
          <w:rFonts w:ascii="仿宋_GB2312" w:hAnsi="仿宋_GB2312" w:cs="仿宋_GB2312" w:eastAsia="仿宋_GB2312"/>
        </w:rPr>
        <w:t>巴中市巴州区教育科技局</w:t>
      </w:r>
      <w:r>
        <w:rPr>
          <w:rFonts w:ascii="仿宋_GB2312" w:hAnsi="仿宋_GB2312" w:cs="仿宋_GB2312" w:eastAsia="仿宋_GB2312"/>
        </w:rPr>
        <w:t xml:space="preserve"> 委托，拟对 </w:t>
      </w:r>
      <w:r>
        <w:rPr>
          <w:rFonts w:ascii="仿宋_GB2312" w:hAnsi="仿宋_GB2312" w:cs="仿宋_GB2312" w:eastAsia="仿宋_GB2312"/>
        </w:rPr>
        <w:t>全民健身中心LED大屏等设备</w:t>
      </w:r>
      <w:r>
        <w:rPr>
          <w:rFonts w:ascii="仿宋_GB2312" w:hAnsi="仿宋_GB2312" w:cs="仿宋_GB2312" w:eastAsia="仿宋_GB2312"/>
        </w:rPr>
        <w:t xml:space="preserve"> 采用询价方式进行采购，兹邀请符合资格条件的供应商参加询价。本项目为四川省</w:t>
      </w:r>
      <w:r>
        <w:rPr>
          <w:rFonts w:ascii="仿宋_GB2312" w:hAnsi="仿宋_GB2312" w:cs="仿宋_GB2312" w:eastAsia="仿宋_GB2312"/>
        </w:rPr>
        <w:t>巴中市巴州区</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N5119022025000030</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全民健身中心LED大屏等设备</w:t>
      </w:r>
    </w:p>
    <w:p>
      <w:pPr>
        <w:pStyle w:val="null3"/>
        <w:jc w:val="left"/>
        <w:outlineLvl w:val="2"/>
      </w:pPr>
      <w:r>
        <w:rPr>
          <w:rFonts w:ascii="仿宋_GB2312" w:hAnsi="仿宋_GB2312" w:cs="仿宋_GB2312" w:eastAsia="仿宋_GB2312"/>
          <w:sz w:val="28"/>
          <w:b/>
        </w:rPr>
        <w:t>1.3.采购项目简介</w:t>
      </w:r>
    </w:p>
    <w:p>
      <w:pPr>
        <w:pStyle w:val="null3"/>
        <w:ind w:firstLine="480"/>
        <w:jc w:val="left"/>
      </w:pPr>
      <w:r>
        <w:rPr>
          <w:rFonts w:ascii="仿宋_GB2312" w:hAnsi="仿宋_GB2312" w:cs="仿宋_GB2312" w:eastAsia="仿宋_GB2312"/>
        </w:rPr>
        <w:t>巴州区全面健身中心旨在提升全民健身公共服务水平，更好地满足人民群众对美好生活需要，现需采购LED大屏、音响等设备一批。</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本项目以发布公告的方式邀请供应商参加询价。公告在四川政府采购网（www.ccgp-sichuan.gov.cn）发布。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采购包1：无。</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1、无（描述：无）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询价通知书，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1.7.询价通知书获取时间、方式及地址</w:t>
      </w:r>
    </w:p>
    <w:p>
      <w:pPr>
        <w:pStyle w:val="null3"/>
        <w:ind w:firstLine="480"/>
        <w:jc w:val="left"/>
      </w:pPr>
      <w:r>
        <w:rPr>
          <w:rFonts w:ascii="仿宋_GB2312" w:hAnsi="仿宋_GB2312" w:cs="仿宋_GB2312" w:eastAsia="仿宋_GB2312"/>
        </w:rPr>
        <w:t xml:space="preserve">一、询价通知书获取时间：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采购人或者代理机构应当在询价通知书获取时间开始前，将本项目电子询价通知书上传至交易系统，向供应商免费提供，供应商通过交易系统获取询价通知书。供应商成功获取询价通知书后，将收到已获取询价通知书的回执单。未按规定获取询价通知书的供应商，不得参与本次采购活动，不得对询价通知书提起质疑。</w:t>
      </w:r>
    </w:p>
    <w:p>
      <w:pPr>
        <w:pStyle w:val="null3"/>
        <w:ind w:firstLine="480"/>
        <w:jc w:val="left"/>
      </w:pPr>
      <w:r>
        <w:rPr>
          <w:rFonts w:ascii="仿宋_GB2312" w:hAnsi="仿宋_GB2312" w:cs="仿宋_GB2312" w:eastAsia="仿宋_GB2312"/>
        </w:rPr>
        <w:t>注：获取的询价通知书由正文和附件组成，正文部分包括pdf、word两种格式版本，如内容有不一致的，以pdf格式内容为准。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一、响应文件提交截止时间及开启时间：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pPr>
      <w:r>
        <w:rPr>
          <w:rFonts w:ascii="仿宋_GB2312" w:hAnsi="仿宋_GB2312" w:cs="仿宋_GB2312" w:eastAsia="仿宋_GB2312"/>
          <w:b/>
        </w:rPr>
        <w:t>采购人</w:t>
      </w:r>
      <w:r>
        <w:rPr>
          <w:rFonts w:ascii="仿宋_GB2312" w:hAnsi="仿宋_GB2312" w:cs="仿宋_GB2312" w:eastAsia="仿宋_GB2312"/>
          <w:b/>
        </w:rPr>
        <w:t xml:space="preserve">： </w:t>
      </w:r>
      <w:r>
        <w:rPr>
          <w:rFonts w:ascii="仿宋_GB2312" w:hAnsi="仿宋_GB2312" w:cs="仿宋_GB2312" w:eastAsia="仿宋_GB2312"/>
          <w:b/>
        </w:rPr>
        <w:t>巴中市巴州区教育科技局</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巴中市巴州区江北大道中段467号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636000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18782740202</w:t>
      </w:r>
    </w:p>
    <w:p>
      <w:pPr>
        <w:pStyle w:val="null3"/>
        <w:ind w:firstLine="480"/>
        <w:jc w:val="left"/>
      </w:pPr>
      <w:r>
        <w:rPr>
          <w:rFonts w:ascii="仿宋_GB2312" w:hAnsi="仿宋_GB2312" w:cs="仿宋_GB2312" w:eastAsia="仿宋_GB2312"/>
          <w:b/>
        </w:rPr>
        <w:t>代理机构</w:t>
      </w:r>
      <w:r>
        <w:rPr>
          <w:rFonts w:ascii="仿宋_GB2312" w:hAnsi="仿宋_GB2312" w:cs="仿宋_GB2312" w:eastAsia="仿宋_GB2312"/>
          <w:b/>
        </w:rPr>
        <w:t xml:space="preserve">： </w:t>
      </w:r>
      <w:r>
        <w:rPr>
          <w:rFonts w:ascii="仿宋_GB2312" w:hAnsi="仿宋_GB2312" w:cs="仿宋_GB2312" w:eastAsia="仿宋_GB2312"/>
          <w:b/>
        </w:rPr>
        <w:t>巴中市巴州区政府采购中心</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四川省巴中市巴州区广场街67号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636000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文件编制股（0827-8668879）</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交易组织股（0827-8668811）、现场监督股（0827-8668812）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采购包1：450,000.00元</w:t>
            </w:r>
          </w:p>
          <w:p>
            <w:pPr>
              <w:pStyle w:val="null3"/>
              <w:jc w:val="left"/>
            </w:pPr>
            <w:r>
              <w:rPr>
                <w:rFonts w:ascii="仿宋_GB2312" w:hAnsi="仿宋_GB2312" w:cs="仿宋_GB2312" w:eastAsia="仿宋_GB2312"/>
              </w:rPr>
              <w:t xml:space="preserve"> 供应商报价不得超过询价通知书中规定的预算金额，采购人可以在采购预算内合理设定最高限价，供应商报价不得超过最高限价，最高限价详见第三章。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最低评标价法（具体规则详见第四章）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 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本项目不收取代理服务费</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本询价通知书中“★”要求为实质性要求。供应商应当按照第四章评审程序中的符合性审查规定，在响应文件中进行实质性响应，否则作无效响应处理。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本询价通知书所称的“以上”、“以下”、“内”、“以内”、“不少于”包括本数；所称的“不足”、“低于”、“超过”不包括本数。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一、本询价通知书仅适用于本次询价采购项目。</w:t>
      </w:r>
    </w:p>
    <w:p>
      <w:pPr>
        <w:pStyle w:val="null3"/>
        <w:ind w:firstLine="480"/>
        <w:jc w:val="left"/>
      </w:pPr>
      <w:r>
        <w:rPr>
          <w:rFonts w:ascii="仿宋_GB2312" w:hAnsi="仿宋_GB2312" w:cs="仿宋_GB2312" w:eastAsia="仿宋_GB2312"/>
        </w:rPr>
        <w:t xml:space="preserve">二、本询价通知书由 </w:t>
      </w:r>
      <w:r>
        <w:rPr>
          <w:rFonts w:ascii="仿宋_GB2312" w:hAnsi="仿宋_GB2312" w:cs="仿宋_GB2312" w:eastAsia="仿宋_GB2312"/>
        </w:rPr>
        <w:t>巴中市巴州区教育科技局</w:t>
      </w:r>
      <w:r>
        <w:rPr>
          <w:rFonts w:ascii="仿宋_GB2312" w:hAnsi="仿宋_GB2312" w:cs="仿宋_GB2312" w:eastAsia="仿宋_GB2312"/>
        </w:rPr>
        <w:t xml:space="preserve"> 和 </w:t>
      </w:r>
      <w:r>
        <w:rPr>
          <w:rFonts w:ascii="仿宋_GB2312" w:hAnsi="仿宋_GB2312" w:cs="仿宋_GB2312" w:eastAsia="仿宋_GB2312"/>
        </w:rPr>
        <w:t>巴中市巴州区政府采购中心</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 “采购人”是指依法进行政府采购的国家机关、事业单位、团体组织。本次询价采购项目的采购人是 </w:t>
      </w:r>
      <w:r>
        <w:rPr>
          <w:rFonts w:ascii="仿宋_GB2312" w:hAnsi="仿宋_GB2312" w:cs="仿宋_GB2312" w:eastAsia="仿宋_GB2312"/>
        </w:rPr>
        <w:t>巴中市巴州区教育科技局</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规定获取询价通知书，参加采购活动的法人、其他组织或者自然人。</w:t>
      </w:r>
    </w:p>
    <w:p>
      <w:pPr>
        <w:pStyle w:val="null3"/>
        <w:ind w:firstLine="480"/>
        <w:jc w:val="left"/>
      </w:pPr>
      <w:r>
        <w:rPr>
          <w:rFonts w:ascii="仿宋_GB2312" w:hAnsi="仿宋_GB2312" w:cs="仿宋_GB2312" w:eastAsia="仿宋_GB2312"/>
        </w:rPr>
        <w:t xml:space="preserve">三、 “代理机构”是指集中采购机构和从事采购代理业务的社会中介机构。本项目的代理机构是 </w:t>
      </w:r>
      <w:r>
        <w:rPr>
          <w:rFonts w:ascii="仿宋_GB2312" w:hAnsi="仿宋_GB2312" w:cs="仿宋_GB2312" w:eastAsia="仿宋_GB2312"/>
        </w:rPr>
        <w:t>巴中市巴州区政府采购中心</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五、“电子评审”是指询价小组开展资格审查、符合性审查、一次性报价、推荐成交候选供应商、出具询价报告等活动。</w:t>
      </w:r>
    </w:p>
    <w:p>
      <w:pPr>
        <w:pStyle w:val="null3"/>
        <w:jc w:val="left"/>
        <w:outlineLvl w:val="2"/>
      </w:pPr>
      <w:r>
        <w:rPr>
          <w:rFonts w:ascii="仿宋_GB2312" w:hAnsi="仿宋_GB2312" w:cs="仿宋_GB2312" w:eastAsia="仿宋_GB2312"/>
          <w:sz w:val="28"/>
          <w:b/>
        </w:rPr>
        <w:t>2.3.询价通知书</w:t>
      </w:r>
    </w:p>
    <w:p>
      <w:pPr>
        <w:pStyle w:val="null3"/>
        <w:jc w:val="left"/>
        <w:outlineLvl w:val="3"/>
      </w:pPr>
      <w:r>
        <w:rPr>
          <w:rFonts w:ascii="仿宋_GB2312" w:hAnsi="仿宋_GB2312" w:cs="仿宋_GB2312" w:eastAsia="仿宋_GB2312"/>
          <w:sz w:val="24"/>
          <w:b/>
        </w:rPr>
        <w:t>2.3.1.询价通知书的构成</w:t>
      </w:r>
    </w:p>
    <w:p>
      <w:pPr>
        <w:pStyle w:val="null3"/>
        <w:ind w:firstLine="480"/>
        <w:jc w:val="left"/>
      </w:pPr>
      <w:r>
        <w:rPr>
          <w:rFonts w:ascii="仿宋_GB2312" w:hAnsi="仿宋_GB2312" w:cs="仿宋_GB2312" w:eastAsia="仿宋_GB2312"/>
        </w:rPr>
        <w:t>询价通知书由采购人、代理机构编制，是项目采购活动开展的基本依据，主要包括以下内容：</w:t>
      </w:r>
    </w:p>
    <w:p>
      <w:pPr>
        <w:pStyle w:val="null3"/>
        <w:ind w:firstLine="480"/>
        <w:jc w:val="left"/>
      </w:pPr>
      <w:r>
        <w:rPr>
          <w:rFonts w:ascii="仿宋_GB2312" w:hAnsi="仿宋_GB2312" w:cs="仿宋_GB2312" w:eastAsia="仿宋_GB2312"/>
        </w:rPr>
        <w:t>一、询价邀请；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四、评审办法；</w:t>
      </w:r>
    </w:p>
    <w:p>
      <w:pPr>
        <w:pStyle w:val="null3"/>
        <w:ind w:firstLine="480"/>
        <w:jc w:val="left"/>
      </w:pPr>
      <w:r>
        <w:rPr>
          <w:rFonts w:ascii="仿宋_GB2312" w:hAnsi="仿宋_GB2312" w:cs="仿宋_GB2312" w:eastAsia="仿宋_GB2312"/>
        </w:rPr>
        <w:t>五、响应文件格式；</w:t>
      </w:r>
    </w:p>
    <w:p>
      <w:pPr>
        <w:pStyle w:val="null3"/>
        <w:ind w:firstLine="480"/>
        <w:jc w:val="left"/>
      </w:pPr>
      <w:r>
        <w:rPr>
          <w:rFonts w:ascii="仿宋_GB2312" w:hAnsi="仿宋_GB2312" w:cs="仿宋_GB2312" w:eastAsia="仿宋_GB2312"/>
        </w:rPr>
        <w:t>六、拟签订采购合同文本。</w:t>
      </w:r>
    </w:p>
    <w:p>
      <w:pPr>
        <w:pStyle w:val="null3"/>
        <w:jc w:val="left"/>
        <w:outlineLvl w:val="3"/>
      </w:pPr>
      <w:r>
        <w:rPr>
          <w:rFonts w:ascii="仿宋_GB2312" w:hAnsi="仿宋_GB2312" w:cs="仿宋_GB2312" w:eastAsia="仿宋_GB2312"/>
          <w:sz w:val="24"/>
          <w:b/>
        </w:rPr>
        <w:t>2.3.2.询价通知书的澄清和修改</w:t>
      </w:r>
    </w:p>
    <w:p>
      <w:pPr>
        <w:pStyle w:val="null3"/>
        <w:ind w:firstLine="480"/>
        <w:jc w:val="left"/>
      </w:pPr>
      <w:r>
        <w:rPr>
          <w:rFonts w:ascii="仿宋_GB2312" w:hAnsi="仿宋_GB2312" w:cs="仿宋_GB2312" w:eastAsia="仿宋_GB2312"/>
        </w:rPr>
        <w:t>一、提交响应文件截止之日前，采购人或者代理机构可以对已发出的询价通知书进行必要的澄清或者修改。</w:t>
      </w:r>
    </w:p>
    <w:p>
      <w:pPr>
        <w:pStyle w:val="null3"/>
        <w:ind w:firstLine="480"/>
        <w:jc w:val="left"/>
      </w:pPr>
      <w:r>
        <w:rPr>
          <w:rFonts w:ascii="仿宋_GB2312" w:hAnsi="仿宋_GB2312" w:cs="仿宋_GB2312" w:eastAsia="仿宋_GB2312"/>
        </w:rPr>
        <w:t>二、澄清或者修改的内容为询价通知书的组成部分，采购人或者代理机构将在四川政府采购网发布更正公告，并将更正后的询价通知书上传至交易系统。更正内容可能影响响应文件编制的，采购人或者代理机构应当在响应截止之日3个工作日前，通过交易系统向已获取询价通知书的供应商发送更正信息，不足3个工作日的，应当顺延提交响应文件截止之日。</w:t>
      </w:r>
    </w:p>
    <w:p>
      <w:pPr>
        <w:pStyle w:val="null3"/>
        <w:jc w:val="left"/>
      </w:pPr>
      <w:r>
        <w:rPr>
          <w:rFonts w:ascii="仿宋_GB2312" w:hAnsi="仿宋_GB2312" w:cs="仿宋_GB2312" w:eastAsia="仿宋_GB2312"/>
        </w:rPr>
        <w:t>三、供应商根据更正公告、更正信息要求下载更正后的询价文件通知书，进行响应文件编制。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询价小组在询价过程中的所有来往书面文件原则上使用中文。响应文件中如附有外文资料，要对应翻译成中文并附在相关外文资料后面，未翻译的外文资料，询价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除询价通知书中另有规定外，本项目均采用国家法定的计量单位。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按照询价通知书第四章评审办法规定进行价格修正的，修正后的报价经供应商加盖电子印章确认后产生约束力。未在规定时间内确认的，视同供应商不确认，作无效响应处理。</w:t>
      </w:r>
    </w:p>
    <w:p>
      <w:pPr>
        <w:pStyle w:val="null3"/>
        <w:ind w:firstLine="480"/>
        <w:jc w:val="left"/>
      </w:pPr>
      <w:r>
        <w:rPr>
          <w:rFonts w:ascii="仿宋_GB2312" w:hAnsi="仿宋_GB2312" w:cs="仿宋_GB2312" w:eastAsia="仿宋_GB2312"/>
        </w:rPr>
        <w:t>供应商报价低于采购预算50% 或者低于其他有效供应商报价算术平均价40%，有可能影响产品质量或者不能诚信履约的，询价小组应当要求其在合理的时间内通过交易系统进行书面说明、提交相关证明材料，并加盖电子印章。供应商拒绝或者变相拒绝提供有效书面说明或者书面说明不能证明其报价合理性的，询价小组应当将其响应文件作为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一、供应商应当按照询价通知书规定编制响应文件，询价通知书第五章对响应文件格式有要求的，按照格式要求编制响应文件，没有格式要求的，由供应商自行编写。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outlineLvl w:val="3"/>
      </w:pPr>
      <w:r>
        <w:rPr>
          <w:rFonts w:ascii="仿宋_GB2312" w:hAnsi="仿宋_GB2312" w:cs="仿宋_GB2312" w:eastAsia="仿宋_GB2312"/>
          <w:sz w:val="24"/>
          <w:b/>
        </w:rPr>
        <w:t>2.4.7.响应文件的提交★</w:t>
      </w:r>
    </w:p>
    <w:p>
      <w:pPr>
        <w:pStyle w:val="null3"/>
        <w:ind w:firstLine="480"/>
        <w:jc w:val="left"/>
      </w:pPr>
      <w:r>
        <w:rPr>
          <w:rFonts w:ascii="仿宋_GB2312" w:hAnsi="仿宋_GB2312" w:cs="仿宋_GB2312" w:eastAsia="仿宋_GB2312"/>
        </w:rPr>
        <w:t>一、供应商应当在询价通知书要求的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未按询价通知书和采购平台操作规范编制、确认、加密、盖章和提交的响应文件，将被拒绝接收。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pPr>
      <w:r>
        <w:rPr>
          <w:rFonts w:ascii="仿宋_GB2312" w:hAnsi="仿宋_GB2312" w:cs="仿宋_GB2312" w:eastAsia="仿宋_GB2312"/>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pPr>
      <w:r>
        <w:rPr>
          <w:rFonts w:ascii="仿宋_GB2312" w:hAnsi="仿宋_GB2312" w:cs="仿宋_GB2312" w:eastAsia="仿宋_GB2312"/>
          <w:b/>
        </w:rPr>
        <w:t>2.5.1.2.解密响应文件★</w:t>
      </w:r>
    </w:p>
    <w:p>
      <w:pPr>
        <w:pStyle w:val="null3"/>
        <w:ind w:firstLine="480"/>
        <w:jc w:val="left"/>
      </w:pPr>
      <w:r>
        <w:rPr>
          <w:rFonts w:ascii="仿宋_GB2312" w:hAnsi="仿宋_GB2312" w:cs="仿宋_GB2312" w:eastAsia="仿宋_GB2312"/>
        </w:rPr>
        <w:t>提交响应文件截止时间后，成功提交响应文件的供应商符合询价通知书规定数量的，代理机构将启动响应文件解密程序，解密时间为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pPr>
      <w:r>
        <w:rPr>
          <w:rFonts w:ascii="仿宋_GB2312" w:hAnsi="仿宋_GB2312" w:cs="仿宋_GB2312" w:eastAsia="仿宋_GB2312"/>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详见询价通知书第四章。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一、采购人或者询价小组确认成交供应商后，代理机构在四川政府采购网发布成交结果公告、通过交易系统发出成交通知书，成交供应商通过交易系统获取成交通知书。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ind w:firstLine="480"/>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二、采购人和成交供应商签订的书面合同不得对询价通知书确定的事项以及成交供应商的响应文件作实质性修改，采购人不得向成交供应商提出任何不合理的要求作为签订合同的条件。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4"/>
      </w:pPr>
      <w:r>
        <w:rPr>
          <w:rFonts w:ascii="仿宋_GB2312" w:hAnsi="仿宋_GB2312" w:cs="仿宋_GB2312" w:eastAsia="仿宋_GB2312"/>
          <w:sz w:val="20"/>
          <w:b/>
        </w:rPr>
        <w:t>2.6.3.1.合同分包</w:t>
      </w:r>
    </w:p>
    <w:p>
      <w:pPr>
        <w:pStyle w:val="null3"/>
        <w:jc w:val="left"/>
      </w:pPr>
      <w:r>
        <w:rPr>
          <w:rFonts w:ascii="仿宋_GB2312" w:hAnsi="仿宋_GB2312" w:cs="仿宋_GB2312" w:eastAsia="仿宋_GB2312"/>
        </w:rPr>
        <w:t>本项目不允许合同分包。</w:t>
      </w:r>
    </w:p>
    <w:p>
      <w:pPr>
        <w:pStyle w:val="null3"/>
        <w:jc w:val="left"/>
        <w:outlineLvl w:val="4"/>
      </w:pPr>
      <w:r>
        <w:rPr>
          <w:rFonts w:ascii="仿宋_GB2312" w:hAnsi="仿宋_GB2312" w:cs="仿宋_GB2312" w:eastAsia="仿宋_GB2312"/>
          <w:sz w:val="20"/>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是</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供应商安装调试完成并书面递交验收申请</w:t>
      </w:r>
      <w:r>
        <w:rPr>
          <w:rFonts w:ascii="仿宋_GB2312" w:hAnsi="仿宋_GB2312" w:cs="仿宋_GB2312" w:eastAsia="仿宋_GB2312"/>
        </w:rPr>
        <w:t xml:space="preserve"> ，达到验收条件起 </w:t>
      </w:r>
      <w:r>
        <w:rPr>
          <w:rFonts w:ascii="仿宋_GB2312" w:hAnsi="仿宋_GB2312" w:cs="仿宋_GB2312" w:eastAsia="仿宋_GB2312"/>
        </w:rPr>
        <w:t>5</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按采购文件技术参数服务要求验收。</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按商务要求内容验收。</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1、采购人与履约方严格按照《财政部关于进一步加强政府采购需求和履约验收管理的指导意见》(财库〔2016〕205 号)、政府采购需求管理办法(财库〔2021〕22号)的要求，按国家(行业)标准 、采购文件、成交供应商的响应文件及承诺函进行验收。双方如对质量要求和技术指标的约定标准有相互抵触或异议的事项，由采购单位在采购与响应文件中按质量要求和技术指标比较优胜的原则确定该项的约定标准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采购人、代理机构应当按照《中华人民共和国政府采购法》《政府采购非招标采购方式管理办法》等法律制度的规定组织开展非招标采购活动，并采取必要措施，保证评审在严格保密的情况下进行。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供应商参加询价不得有下列情形：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六、向采购人或者代理机构、询价小组成员行贿或者提供其他不正当利益；</w:t>
      </w:r>
    </w:p>
    <w:p>
      <w:pPr>
        <w:pStyle w:val="null3"/>
        <w:ind w:firstLine="480"/>
        <w:jc w:val="left"/>
      </w:pPr>
      <w:r>
        <w:rPr>
          <w:rFonts w:ascii="仿宋_GB2312" w:hAnsi="仿宋_GB2312" w:cs="仿宋_GB2312" w:eastAsia="仿宋_GB2312"/>
        </w:rPr>
        <w:t>七、在询价过程中与采购人或者代理机构进行协商谈判；</w:t>
      </w:r>
    </w:p>
    <w:p>
      <w:pPr>
        <w:pStyle w:val="null3"/>
        <w:ind w:firstLine="480"/>
        <w:jc w:val="left"/>
      </w:pPr>
      <w:r>
        <w:rPr>
          <w:rFonts w:ascii="仿宋_GB2312" w:hAnsi="仿宋_GB2312" w:cs="仿宋_GB2312" w:eastAsia="仿宋_GB2312"/>
        </w:rPr>
        <w:t>八、成交后无正当理由拒不与采购人签订政府采购合同；</w:t>
      </w:r>
    </w:p>
    <w:p>
      <w:pPr>
        <w:pStyle w:val="null3"/>
        <w:ind w:firstLine="480"/>
        <w:jc w:val="left"/>
      </w:pPr>
      <w:r>
        <w:rPr>
          <w:rFonts w:ascii="仿宋_GB2312" w:hAnsi="仿宋_GB2312" w:cs="仿宋_GB2312" w:eastAsia="仿宋_GB2312"/>
        </w:rPr>
        <w:t>九、未按照询价通知书确定的事项签订政府采购合同；</w:t>
      </w:r>
    </w:p>
    <w:p>
      <w:pPr>
        <w:pStyle w:val="null3"/>
        <w:ind w:firstLine="480"/>
        <w:jc w:val="left"/>
      </w:pPr>
      <w:r>
        <w:rPr>
          <w:rFonts w:ascii="仿宋_GB2312" w:hAnsi="仿宋_GB2312" w:cs="仿宋_GB2312" w:eastAsia="仿宋_GB2312"/>
        </w:rPr>
        <w:t>十、将政府采购合同转包或者违规分包；</w:t>
      </w:r>
    </w:p>
    <w:p>
      <w:pPr>
        <w:pStyle w:val="null3"/>
        <w:ind w:firstLine="480"/>
        <w:jc w:val="left"/>
      </w:pPr>
      <w:r>
        <w:rPr>
          <w:rFonts w:ascii="仿宋_GB2312" w:hAnsi="仿宋_GB2312" w:cs="仿宋_GB2312" w:eastAsia="仿宋_GB2312"/>
        </w:rPr>
        <w:t>十一、提供假冒伪劣产品；</w:t>
      </w:r>
    </w:p>
    <w:p>
      <w:pPr>
        <w:pStyle w:val="null3"/>
        <w:ind w:firstLine="480"/>
        <w:jc w:val="left"/>
      </w:pPr>
      <w:r>
        <w:rPr>
          <w:rFonts w:ascii="仿宋_GB2312" w:hAnsi="仿宋_GB2312" w:cs="仿宋_GB2312" w:eastAsia="仿宋_GB2312"/>
        </w:rPr>
        <w:t>十二、擅自变更、中止或者终止政府采购合同；</w:t>
      </w:r>
    </w:p>
    <w:p>
      <w:pPr>
        <w:pStyle w:val="null3"/>
        <w:ind w:firstLine="480"/>
        <w:jc w:val="left"/>
      </w:pPr>
      <w:r>
        <w:rPr>
          <w:rFonts w:ascii="仿宋_GB2312" w:hAnsi="仿宋_GB2312" w:cs="仿宋_GB2312" w:eastAsia="仿宋_GB2312"/>
        </w:rPr>
        <w:t>十三、拒绝有关部门的监督检查或者向监督检查部门提供虚假情况；</w:t>
      </w:r>
    </w:p>
    <w:p>
      <w:pPr>
        <w:pStyle w:val="null3"/>
        <w:ind w:firstLine="480"/>
        <w:jc w:val="left"/>
      </w:pPr>
      <w:r>
        <w:rPr>
          <w:rFonts w:ascii="仿宋_GB2312" w:hAnsi="仿宋_GB2312" w:cs="仿宋_GB2312" w:eastAsia="仿宋_GB2312"/>
        </w:rPr>
        <w:t>十四、法律法规规定的其他禁止情形。</w:t>
      </w:r>
    </w:p>
    <w:p>
      <w:pPr>
        <w:pStyle w:val="null3"/>
        <w:ind w:firstLine="480"/>
        <w:jc w:val="left"/>
      </w:pPr>
      <w:r>
        <w:rPr>
          <w:rFonts w:ascii="仿宋_GB2312" w:hAnsi="仿宋_GB2312" w:cs="仿宋_GB2312" w:eastAsia="仿宋_GB2312"/>
        </w:rPr>
        <w:t>供应商有前述一至七条情形之一的，作无效响应处理。成交供应商有前述一至七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根据委托代理协议约定，供应商对询价通知书中采购需求的询问、质疑由 </w:t>
      </w:r>
      <w:r>
        <w:rPr>
          <w:rFonts w:ascii="仿宋_GB2312" w:hAnsi="仿宋_GB2312" w:cs="仿宋_GB2312" w:eastAsia="仿宋_GB2312"/>
        </w:rPr>
        <w:t>巴中市巴州区教育科技局</w:t>
      </w:r>
      <w:r>
        <w:rPr>
          <w:rFonts w:ascii="仿宋_GB2312" w:hAnsi="仿宋_GB2312" w:cs="仿宋_GB2312" w:eastAsia="仿宋_GB2312"/>
        </w:rPr>
        <w:t xml:space="preserve"> 负责答复；供应商对除采购需求外的询价通知书的询问、质疑由 </w:t>
      </w:r>
      <w:r>
        <w:rPr>
          <w:rFonts w:ascii="仿宋_GB2312" w:hAnsi="仿宋_GB2312" w:cs="仿宋_GB2312" w:eastAsia="仿宋_GB2312"/>
        </w:rPr>
        <w:t>巴中市巴州区政府采购中心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巴中市巴州区政府采购中心</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ind w:firstLine="480"/>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联系人：张老师</w:t>
      </w:r>
    </w:p>
    <w:p>
      <w:pPr>
        <w:pStyle w:val="null3"/>
        <w:jc w:val="left"/>
      </w:pPr>
      <w:r>
        <w:rPr>
          <w:rFonts w:ascii="仿宋_GB2312" w:hAnsi="仿宋_GB2312" w:cs="仿宋_GB2312" w:eastAsia="仿宋_GB2312"/>
        </w:rPr>
        <w:t>联系电话：18782740202</w:t>
      </w:r>
    </w:p>
    <w:p>
      <w:pPr>
        <w:pStyle w:val="null3"/>
        <w:jc w:val="left"/>
      </w:pPr>
      <w:r>
        <w:rPr>
          <w:rFonts w:ascii="仿宋_GB2312" w:hAnsi="仿宋_GB2312" w:cs="仿宋_GB2312" w:eastAsia="仿宋_GB2312"/>
        </w:rPr>
        <w:t>地址：巴中市巴州区江北大道中段467号</w:t>
      </w:r>
    </w:p>
    <w:p>
      <w:pPr>
        <w:pStyle w:val="null3"/>
        <w:jc w:val="left"/>
      </w:pPr>
      <w:r>
        <w:rPr>
          <w:rFonts w:ascii="仿宋_GB2312" w:hAnsi="仿宋_GB2312" w:cs="仿宋_GB2312" w:eastAsia="仿宋_GB2312"/>
        </w:rPr>
        <w:t>邮编：636000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联系人：现场监督股</w:t>
      </w:r>
    </w:p>
    <w:p>
      <w:pPr>
        <w:pStyle w:val="null3"/>
        <w:jc w:val="left"/>
      </w:pPr>
      <w:r>
        <w:rPr>
          <w:rFonts w:ascii="仿宋_GB2312" w:hAnsi="仿宋_GB2312" w:cs="仿宋_GB2312" w:eastAsia="仿宋_GB2312"/>
        </w:rPr>
        <w:t>联系电话：0827-8668812</w:t>
      </w:r>
    </w:p>
    <w:p>
      <w:pPr>
        <w:pStyle w:val="null3"/>
        <w:jc w:val="left"/>
      </w:pPr>
      <w:r>
        <w:rPr>
          <w:rFonts w:ascii="仿宋_GB2312" w:hAnsi="仿宋_GB2312" w:cs="仿宋_GB2312" w:eastAsia="仿宋_GB2312"/>
        </w:rPr>
        <w:t>地址：巴州区广场街67号</w:t>
      </w:r>
    </w:p>
    <w:p>
      <w:pPr>
        <w:pStyle w:val="null3"/>
        <w:jc w:val="left"/>
      </w:pPr>
      <w:r>
        <w:rPr>
          <w:rFonts w:ascii="仿宋_GB2312" w:hAnsi="仿宋_GB2312" w:cs="仿宋_GB2312" w:eastAsia="仿宋_GB2312"/>
        </w:rPr>
        <w:t>邮编：636000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询价通知书、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（一）对可以质疑的询价通知书提出质疑的，为收到询价通知书之日或者询价通知书公告期限届满之日；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（五）针对质疑事项必要的证明材料（针对询价通知书提出的质疑，需提交从交易系统获取的询价通知书回执单）。</w:t>
      </w:r>
    </w:p>
    <w:p>
      <w:pPr>
        <w:pStyle w:val="null3"/>
        <w:ind w:firstLine="480"/>
        <w:jc w:val="left"/>
      </w:pPr>
      <w:r>
        <w:rPr>
          <w:rFonts w:ascii="仿宋_GB2312" w:hAnsi="仿宋_GB2312" w:cs="仿宋_GB2312" w:eastAsia="仿宋_GB2312"/>
        </w:rPr>
        <w:t>注：根据《中华人民共和国政府采购法》的规定，供应商质疑不得超出询价通知书、采购过程、采购结果的范围。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采购人或者代理机构应当在询价通知书中明确线下样品评审规则和方式，不得对供应商实行差别待遇或者歧视性待遇。样品评审应当全过程录音录像，形成书面评审记录上传至交易系统。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（注:本章的技术、服务及其他要求中，带“★”的要求为实质性要求。采购人、代理机构应当根据项目实际要求合理设定，并在第四章符合性审查中明确响应要求。）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450,000.00</w:t>
      </w:r>
    </w:p>
    <w:p>
      <w:pPr>
        <w:pStyle w:val="null3"/>
        <w:jc w:val="left"/>
      </w:pPr>
      <w:r>
        <w:rPr>
          <w:rFonts w:ascii="仿宋_GB2312" w:hAnsi="仿宋_GB2312" w:cs="仿宋_GB2312" w:eastAsia="仿宋_GB2312"/>
        </w:rPr>
        <w:t>采购包最高限价（元）: 450,000.00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A02021103 LED 显示屏</w:t>
            </w:r>
          </w:p>
        </w:tc>
        <w:tc>
          <w:tcPr>
            <w:tcW w:type="dxa" w:w="821"/>
          </w:tcPr>
          <w:p>
            <w:pPr>
              <w:pStyle w:val="null3"/>
              <w:jc w:val="left"/>
            </w:pPr>
            <w:r>
              <w:rPr>
                <w:rFonts w:ascii="仿宋_GB2312" w:hAnsi="仿宋_GB2312" w:cs="仿宋_GB2312" w:eastAsia="仿宋_GB2312"/>
              </w:rPr>
              <w:t>音响系统</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73,100.00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w:t>
            </w:r>
          </w:p>
        </w:tc>
        <w:tc>
          <w:tcPr>
            <w:tcW w:type="dxa" w:w="821"/>
          </w:tcPr>
          <w:p>
            <w:pPr>
              <w:pStyle w:val="null3"/>
              <w:jc w:val="left"/>
            </w:pPr>
            <w:r>
              <w:rPr>
                <w:rFonts w:ascii="仿宋_GB2312" w:hAnsi="仿宋_GB2312" w:cs="仿宋_GB2312" w:eastAsia="仿宋_GB2312"/>
              </w:rPr>
              <w:t>A02021103 LED 显示屏</w:t>
            </w:r>
          </w:p>
        </w:tc>
        <w:tc>
          <w:tcPr>
            <w:tcW w:type="dxa" w:w="821"/>
          </w:tcPr>
          <w:p>
            <w:pPr>
              <w:pStyle w:val="null3"/>
              <w:jc w:val="left"/>
            </w:pPr>
            <w:r>
              <w:rPr>
                <w:rFonts w:ascii="仿宋_GB2312" w:hAnsi="仿宋_GB2312" w:cs="仿宋_GB2312" w:eastAsia="仿宋_GB2312"/>
              </w:rPr>
              <w:t>全彩LED显示屏</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252,000.00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w:t>
            </w:r>
          </w:p>
        </w:tc>
        <w:tc>
          <w:tcPr>
            <w:tcW w:type="dxa" w:w="821"/>
          </w:tcPr>
          <w:p>
            <w:pPr>
              <w:pStyle w:val="null3"/>
              <w:jc w:val="left"/>
            </w:pPr>
            <w:r>
              <w:rPr>
                <w:rFonts w:ascii="仿宋_GB2312" w:hAnsi="仿宋_GB2312" w:cs="仿宋_GB2312" w:eastAsia="仿宋_GB2312"/>
              </w:rPr>
              <w:t>A02021103 LED 显示屏</w:t>
            </w:r>
          </w:p>
        </w:tc>
        <w:tc>
          <w:tcPr>
            <w:tcW w:type="dxa" w:w="821"/>
          </w:tcPr>
          <w:p>
            <w:pPr>
              <w:pStyle w:val="null3"/>
              <w:jc w:val="left"/>
            </w:pPr>
            <w:r>
              <w:rPr>
                <w:rFonts w:ascii="仿宋_GB2312" w:hAnsi="仿宋_GB2312" w:cs="仿宋_GB2312" w:eastAsia="仿宋_GB2312"/>
              </w:rPr>
              <w:t>控制终端</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55,500.00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是</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4</w:t>
            </w:r>
          </w:p>
        </w:tc>
        <w:tc>
          <w:tcPr>
            <w:tcW w:type="dxa" w:w="821"/>
          </w:tcPr>
          <w:p>
            <w:pPr>
              <w:pStyle w:val="null3"/>
              <w:jc w:val="left"/>
            </w:pPr>
            <w:r>
              <w:rPr>
                <w:rFonts w:ascii="仿宋_GB2312" w:hAnsi="仿宋_GB2312" w:cs="仿宋_GB2312" w:eastAsia="仿宋_GB2312"/>
              </w:rPr>
              <w:t>A02021103 LED 显示屏</w:t>
            </w:r>
          </w:p>
        </w:tc>
        <w:tc>
          <w:tcPr>
            <w:tcW w:type="dxa" w:w="821"/>
          </w:tcPr>
          <w:p>
            <w:pPr>
              <w:pStyle w:val="null3"/>
              <w:jc w:val="left"/>
            </w:pPr>
            <w:r>
              <w:rPr>
                <w:rFonts w:ascii="仿宋_GB2312" w:hAnsi="仿宋_GB2312" w:cs="仿宋_GB2312" w:eastAsia="仿宋_GB2312"/>
              </w:rPr>
              <w:t>屏体控制器</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8,000.00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5</w:t>
            </w:r>
          </w:p>
        </w:tc>
        <w:tc>
          <w:tcPr>
            <w:tcW w:type="dxa" w:w="821"/>
          </w:tcPr>
          <w:p>
            <w:pPr>
              <w:pStyle w:val="null3"/>
              <w:jc w:val="left"/>
            </w:pPr>
            <w:r>
              <w:rPr>
                <w:rFonts w:ascii="仿宋_GB2312" w:hAnsi="仿宋_GB2312" w:cs="仿宋_GB2312" w:eastAsia="仿宋_GB2312"/>
              </w:rPr>
              <w:t>A02021103 LED 显示屏</w:t>
            </w:r>
          </w:p>
        </w:tc>
        <w:tc>
          <w:tcPr>
            <w:tcW w:type="dxa" w:w="821"/>
          </w:tcPr>
          <w:p>
            <w:pPr>
              <w:pStyle w:val="null3"/>
              <w:jc w:val="left"/>
            </w:pPr>
            <w:r>
              <w:rPr>
                <w:rFonts w:ascii="仿宋_GB2312" w:hAnsi="仿宋_GB2312" w:cs="仿宋_GB2312" w:eastAsia="仿宋_GB2312"/>
              </w:rPr>
              <w:t>配电柜</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4,500.00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6</w:t>
            </w:r>
          </w:p>
        </w:tc>
        <w:tc>
          <w:tcPr>
            <w:tcW w:type="dxa" w:w="821"/>
          </w:tcPr>
          <w:p>
            <w:pPr>
              <w:pStyle w:val="null3"/>
              <w:jc w:val="left"/>
            </w:pPr>
            <w:r>
              <w:rPr>
                <w:rFonts w:ascii="仿宋_GB2312" w:hAnsi="仿宋_GB2312" w:cs="仿宋_GB2312" w:eastAsia="仿宋_GB2312"/>
              </w:rPr>
              <w:t>A02021103 LED 显示屏</w:t>
            </w:r>
          </w:p>
        </w:tc>
        <w:tc>
          <w:tcPr>
            <w:tcW w:type="dxa" w:w="821"/>
          </w:tcPr>
          <w:p>
            <w:pPr>
              <w:pStyle w:val="null3"/>
              <w:jc w:val="left"/>
            </w:pPr>
            <w:r>
              <w:rPr>
                <w:rFonts w:ascii="仿宋_GB2312" w:hAnsi="仿宋_GB2312" w:cs="仿宋_GB2312" w:eastAsia="仿宋_GB2312"/>
              </w:rPr>
              <w:t>LED二十四秒显示终端</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24,000.00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7</w:t>
            </w:r>
          </w:p>
        </w:tc>
        <w:tc>
          <w:tcPr>
            <w:tcW w:type="dxa" w:w="821"/>
          </w:tcPr>
          <w:p>
            <w:pPr>
              <w:pStyle w:val="null3"/>
              <w:jc w:val="left"/>
            </w:pPr>
            <w:r>
              <w:rPr>
                <w:rFonts w:ascii="仿宋_GB2312" w:hAnsi="仿宋_GB2312" w:cs="仿宋_GB2312" w:eastAsia="仿宋_GB2312"/>
              </w:rPr>
              <w:t>A02021103 LED 显示屏</w:t>
            </w:r>
          </w:p>
        </w:tc>
        <w:tc>
          <w:tcPr>
            <w:tcW w:type="dxa" w:w="821"/>
          </w:tcPr>
          <w:p>
            <w:pPr>
              <w:pStyle w:val="null3"/>
              <w:jc w:val="left"/>
            </w:pPr>
            <w:r>
              <w:rPr>
                <w:rFonts w:ascii="仿宋_GB2312" w:hAnsi="仿宋_GB2312" w:cs="仿宋_GB2312" w:eastAsia="仿宋_GB2312"/>
              </w:rPr>
              <w:t>篮球发球权LED显示终端</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1,500.00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8</w:t>
            </w:r>
          </w:p>
        </w:tc>
        <w:tc>
          <w:tcPr>
            <w:tcW w:type="dxa" w:w="821"/>
          </w:tcPr>
          <w:p>
            <w:pPr>
              <w:pStyle w:val="null3"/>
              <w:jc w:val="left"/>
            </w:pPr>
            <w:r>
              <w:rPr>
                <w:rFonts w:ascii="仿宋_GB2312" w:hAnsi="仿宋_GB2312" w:cs="仿宋_GB2312" w:eastAsia="仿宋_GB2312"/>
              </w:rPr>
              <w:t>A02021103 LED 显示屏</w:t>
            </w:r>
          </w:p>
        </w:tc>
        <w:tc>
          <w:tcPr>
            <w:tcW w:type="dxa" w:w="821"/>
          </w:tcPr>
          <w:p>
            <w:pPr>
              <w:pStyle w:val="null3"/>
              <w:jc w:val="left"/>
            </w:pPr>
            <w:r>
              <w:rPr>
                <w:rFonts w:ascii="仿宋_GB2312" w:hAnsi="仿宋_GB2312" w:cs="仿宋_GB2312" w:eastAsia="仿宋_GB2312"/>
              </w:rPr>
              <w:t>篮球赛全队犯规器</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9,000.00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9</w:t>
            </w:r>
          </w:p>
        </w:tc>
        <w:tc>
          <w:tcPr>
            <w:tcW w:type="dxa" w:w="821"/>
          </w:tcPr>
          <w:p>
            <w:pPr>
              <w:pStyle w:val="null3"/>
              <w:jc w:val="left"/>
            </w:pPr>
            <w:r>
              <w:rPr>
                <w:rFonts w:ascii="仿宋_GB2312" w:hAnsi="仿宋_GB2312" w:cs="仿宋_GB2312" w:eastAsia="仿宋_GB2312"/>
              </w:rPr>
              <w:t>A02021103 LED 显示屏</w:t>
            </w:r>
          </w:p>
        </w:tc>
        <w:tc>
          <w:tcPr>
            <w:tcW w:type="dxa" w:w="821"/>
          </w:tcPr>
          <w:p>
            <w:pPr>
              <w:pStyle w:val="null3"/>
              <w:jc w:val="left"/>
            </w:pPr>
            <w:r>
              <w:rPr>
                <w:rFonts w:ascii="仿宋_GB2312" w:hAnsi="仿宋_GB2312" w:cs="仿宋_GB2312" w:eastAsia="仿宋_GB2312"/>
              </w:rPr>
              <w:t>篮球赛记录员讯响器</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900.00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10</w:t>
            </w:r>
          </w:p>
        </w:tc>
        <w:tc>
          <w:tcPr>
            <w:tcW w:type="dxa" w:w="821"/>
          </w:tcPr>
          <w:p>
            <w:pPr>
              <w:pStyle w:val="null3"/>
              <w:jc w:val="left"/>
            </w:pPr>
            <w:r>
              <w:rPr>
                <w:rFonts w:ascii="仿宋_GB2312" w:hAnsi="仿宋_GB2312" w:cs="仿宋_GB2312" w:eastAsia="仿宋_GB2312"/>
              </w:rPr>
              <w:t>A02021103 LED 显示屏</w:t>
            </w:r>
          </w:p>
        </w:tc>
        <w:tc>
          <w:tcPr>
            <w:tcW w:type="dxa" w:w="821"/>
          </w:tcPr>
          <w:p>
            <w:pPr>
              <w:pStyle w:val="null3"/>
              <w:jc w:val="left"/>
            </w:pPr>
            <w:r>
              <w:rPr>
                <w:rFonts w:ascii="仿宋_GB2312" w:hAnsi="仿宋_GB2312" w:cs="仿宋_GB2312" w:eastAsia="仿宋_GB2312"/>
              </w:rPr>
              <w:t>篮球队员犯规次数牌</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1,500.00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11</w:t>
            </w:r>
          </w:p>
        </w:tc>
        <w:tc>
          <w:tcPr>
            <w:tcW w:type="dxa" w:w="821"/>
          </w:tcPr>
          <w:p>
            <w:pPr>
              <w:pStyle w:val="null3"/>
              <w:jc w:val="left"/>
            </w:pPr>
            <w:r>
              <w:rPr>
                <w:rFonts w:ascii="仿宋_GB2312" w:hAnsi="仿宋_GB2312" w:cs="仿宋_GB2312" w:eastAsia="仿宋_GB2312"/>
              </w:rPr>
              <w:t>A02021103 LED 显示屏</w:t>
            </w:r>
          </w:p>
        </w:tc>
        <w:tc>
          <w:tcPr>
            <w:tcW w:type="dxa" w:w="821"/>
          </w:tcPr>
          <w:p>
            <w:pPr>
              <w:pStyle w:val="null3"/>
              <w:jc w:val="left"/>
            </w:pPr>
            <w:r>
              <w:rPr>
                <w:rFonts w:ascii="仿宋_GB2312" w:hAnsi="仿宋_GB2312" w:cs="仿宋_GB2312" w:eastAsia="仿宋_GB2312"/>
              </w:rPr>
              <w:t>技术统计桌（含底架）</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20,000.00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音响系统</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73,100.00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w:t>
            </w:r>
          </w:p>
        </w:tc>
        <w:tc>
          <w:tcPr>
            <w:tcW w:type="dxa" w:w="1707"/>
          </w:tcPr>
          <w:p>
            <w:pPr>
              <w:pStyle w:val="null3"/>
              <w:jc w:val="center"/>
            </w:pPr>
            <w:r>
              <w:rPr>
                <w:rFonts w:ascii="仿宋_GB2312" w:hAnsi="仿宋_GB2312" w:cs="仿宋_GB2312" w:eastAsia="仿宋_GB2312"/>
              </w:rPr>
              <w:t>全彩LED显示屏</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252,000.00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w:t>
            </w:r>
          </w:p>
        </w:tc>
        <w:tc>
          <w:tcPr>
            <w:tcW w:type="dxa" w:w="1707"/>
          </w:tcPr>
          <w:p>
            <w:pPr>
              <w:pStyle w:val="null3"/>
              <w:jc w:val="center"/>
            </w:pPr>
            <w:r>
              <w:rPr>
                <w:rFonts w:ascii="仿宋_GB2312" w:hAnsi="仿宋_GB2312" w:cs="仿宋_GB2312" w:eastAsia="仿宋_GB2312"/>
              </w:rPr>
              <w:t>控制终端</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55,500.00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4</w:t>
            </w:r>
          </w:p>
        </w:tc>
        <w:tc>
          <w:tcPr>
            <w:tcW w:type="dxa" w:w="1707"/>
          </w:tcPr>
          <w:p>
            <w:pPr>
              <w:pStyle w:val="null3"/>
              <w:jc w:val="center"/>
            </w:pPr>
            <w:r>
              <w:rPr>
                <w:rFonts w:ascii="仿宋_GB2312" w:hAnsi="仿宋_GB2312" w:cs="仿宋_GB2312" w:eastAsia="仿宋_GB2312"/>
              </w:rPr>
              <w:t>屏体控制器</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8,000.00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5</w:t>
            </w:r>
          </w:p>
        </w:tc>
        <w:tc>
          <w:tcPr>
            <w:tcW w:type="dxa" w:w="1707"/>
          </w:tcPr>
          <w:p>
            <w:pPr>
              <w:pStyle w:val="null3"/>
              <w:jc w:val="center"/>
            </w:pPr>
            <w:r>
              <w:rPr>
                <w:rFonts w:ascii="仿宋_GB2312" w:hAnsi="仿宋_GB2312" w:cs="仿宋_GB2312" w:eastAsia="仿宋_GB2312"/>
              </w:rPr>
              <w:t>配电柜</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4,500.00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6</w:t>
            </w:r>
          </w:p>
        </w:tc>
        <w:tc>
          <w:tcPr>
            <w:tcW w:type="dxa" w:w="1707"/>
          </w:tcPr>
          <w:p>
            <w:pPr>
              <w:pStyle w:val="null3"/>
              <w:jc w:val="center"/>
            </w:pPr>
            <w:r>
              <w:rPr>
                <w:rFonts w:ascii="仿宋_GB2312" w:hAnsi="仿宋_GB2312" w:cs="仿宋_GB2312" w:eastAsia="仿宋_GB2312"/>
              </w:rPr>
              <w:t>LED二十四秒显示终端</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24,000.00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7</w:t>
            </w:r>
          </w:p>
        </w:tc>
        <w:tc>
          <w:tcPr>
            <w:tcW w:type="dxa" w:w="1707"/>
          </w:tcPr>
          <w:p>
            <w:pPr>
              <w:pStyle w:val="null3"/>
              <w:jc w:val="center"/>
            </w:pPr>
            <w:r>
              <w:rPr>
                <w:rFonts w:ascii="仿宋_GB2312" w:hAnsi="仿宋_GB2312" w:cs="仿宋_GB2312" w:eastAsia="仿宋_GB2312"/>
              </w:rPr>
              <w:t>篮球发球权LED显示终端</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1,500.00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8</w:t>
            </w:r>
          </w:p>
        </w:tc>
        <w:tc>
          <w:tcPr>
            <w:tcW w:type="dxa" w:w="1707"/>
          </w:tcPr>
          <w:p>
            <w:pPr>
              <w:pStyle w:val="null3"/>
              <w:jc w:val="center"/>
            </w:pPr>
            <w:r>
              <w:rPr>
                <w:rFonts w:ascii="仿宋_GB2312" w:hAnsi="仿宋_GB2312" w:cs="仿宋_GB2312" w:eastAsia="仿宋_GB2312"/>
              </w:rPr>
              <w:t>篮球赛全队犯规器</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9,000.00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9</w:t>
            </w:r>
          </w:p>
        </w:tc>
        <w:tc>
          <w:tcPr>
            <w:tcW w:type="dxa" w:w="1707"/>
          </w:tcPr>
          <w:p>
            <w:pPr>
              <w:pStyle w:val="null3"/>
              <w:jc w:val="center"/>
            </w:pPr>
            <w:r>
              <w:rPr>
                <w:rFonts w:ascii="仿宋_GB2312" w:hAnsi="仿宋_GB2312" w:cs="仿宋_GB2312" w:eastAsia="仿宋_GB2312"/>
              </w:rPr>
              <w:t>篮球赛记录员讯响器</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900.00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10</w:t>
            </w:r>
          </w:p>
        </w:tc>
        <w:tc>
          <w:tcPr>
            <w:tcW w:type="dxa" w:w="1707"/>
          </w:tcPr>
          <w:p>
            <w:pPr>
              <w:pStyle w:val="null3"/>
              <w:jc w:val="center"/>
            </w:pPr>
            <w:r>
              <w:rPr>
                <w:rFonts w:ascii="仿宋_GB2312" w:hAnsi="仿宋_GB2312" w:cs="仿宋_GB2312" w:eastAsia="仿宋_GB2312"/>
              </w:rPr>
              <w:t>篮球队员犯规次数牌</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1,500.00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11</w:t>
            </w:r>
          </w:p>
        </w:tc>
        <w:tc>
          <w:tcPr>
            <w:tcW w:type="dxa" w:w="1707"/>
          </w:tcPr>
          <w:p>
            <w:pPr>
              <w:pStyle w:val="null3"/>
              <w:jc w:val="center"/>
            </w:pPr>
            <w:r>
              <w:rPr>
                <w:rFonts w:ascii="仿宋_GB2312" w:hAnsi="仿宋_GB2312" w:cs="仿宋_GB2312" w:eastAsia="仿宋_GB2312"/>
              </w:rPr>
              <w:t>技术统计桌（含底架）</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20,000.00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★注：供应商响应产品应当明确品牌和规格型号并指向唯一产品，不能指向唯一产品的，应通过报价表唯一产品说明栏补充说明。</w:t>
      </w:r>
    </w:p>
    <w:p>
      <w:pPr>
        <w:pStyle w:val="null3"/>
        <w:jc w:val="left"/>
      </w:pPr>
      <w:r>
        <w:rPr>
          <w:rFonts w:ascii="仿宋_GB2312" w:hAnsi="仿宋_GB2312" w:cs="仿宋_GB2312" w:eastAsia="仿宋_GB2312"/>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A02021103 LED 显示屏</w:t>
            </w:r>
          </w:p>
        </w:tc>
        <w:tc>
          <w:tcPr>
            <w:tcW w:type="dxa" w:w="2492"/>
          </w:tcPr>
          <w:p>
            <w:pPr>
              <w:pStyle w:val="null3"/>
              <w:jc w:val="left"/>
            </w:pPr>
            <w:r>
              <w:rPr>
                <w:rFonts w:ascii="仿宋_GB2312" w:hAnsi="仿宋_GB2312" w:cs="仿宋_GB2312" w:eastAsia="仿宋_GB2312"/>
              </w:rPr>
              <w:t>音响系统</w:t>
            </w:r>
          </w:p>
        </w:tc>
        <w:tc>
          <w:tcPr>
            <w:tcW w:type="dxa" w:w="2492"/>
          </w:tcPr>
          <w:p>
            <w:pPr>
              <w:pStyle w:val="null3"/>
              <w:jc w:val="left"/>
            </w:pPr>
            <w:r>
              <w:rPr>
                <w:rFonts w:ascii="仿宋_GB2312" w:hAnsi="仿宋_GB2312" w:cs="仿宋_GB2312" w:eastAsia="仿宋_GB2312"/>
              </w:rPr>
              <w:t>音响系统</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A02021103 LED 显示屏</w:t>
            </w:r>
          </w:p>
        </w:tc>
        <w:tc>
          <w:tcPr>
            <w:tcW w:type="dxa" w:w="2492"/>
          </w:tcPr>
          <w:p>
            <w:pPr>
              <w:pStyle w:val="null3"/>
              <w:jc w:val="left"/>
            </w:pPr>
            <w:r>
              <w:rPr>
                <w:rFonts w:ascii="仿宋_GB2312" w:hAnsi="仿宋_GB2312" w:cs="仿宋_GB2312" w:eastAsia="仿宋_GB2312"/>
              </w:rPr>
              <w:t>全彩LED显示屏</w:t>
            </w:r>
          </w:p>
        </w:tc>
        <w:tc>
          <w:tcPr>
            <w:tcW w:type="dxa" w:w="2492"/>
          </w:tcPr>
          <w:p>
            <w:pPr>
              <w:pStyle w:val="null3"/>
              <w:jc w:val="left"/>
            </w:pPr>
            <w:r>
              <w:rPr>
                <w:rFonts w:ascii="仿宋_GB2312" w:hAnsi="仿宋_GB2312" w:cs="仿宋_GB2312" w:eastAsia="仿宋_GB2312"/>
              </w:rPr>
              <w:t>全彩LED显示屏</w:t>
            </w:r>
          </w:p>
        </w:tc>
      </w:tr>
    </w:tbl>
    <w:p>
      <w:pPr>
        <w:pStyle w:val="null3"/>
        <w:ind w:firstLine="480"/>
        <w:jc w:val="left"/>
      </w:pPr>
      <w:r>
        <w:rPr>
          <w:rFonts w:ascii="仿宋_GB2312" w:hAnsi="仿宋_GB2312" w:cs="仿宋_GB2312" w:eastAsia="仿宋_GB2312"/>
        </w:rPr>
        <w:t>注：涉及核心产品的，具体评审规定见第四章。</w:t>
      </w:r>
    </w:p>
    <w:p>
      <w:pPr>
        <w:pStyle w:val="null3"/>
        <w:jc w:val="left"/>
      </w:pPr>
      <w:r>
        <w:rPr>
          <w:rFonts w:ascii="仿宋_GB2312" w:hAnsi="仿宋_GB2312" w:cs="仿宋_GB2312" w:eastAsia="仿宋_GB2312"/>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pPr>
      <w:r>
        <w:rPr>
          <w:rFonts w:ascii="仿宋_GB2312" w:hAnsi="仿宋_GB2312" w:cs="仿宋_GB2312" w:eastAsia="仿宋_GB2312"/>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A02021103 LED 显示屏</w:t>
            </w:r>
          </w:p>
        </w:tc>
        <w:tc>
          <w:tcPr>
            <w:tcW w:type="dxa" w:w="2492"/>
          </w:tcPr>
          <w:p>
            <w:pPr>
              <w:pStyle w:val="null3"/>
              <w:jc w:val="left"/>
            </w:pPr>
            <w:r>
              <w:rPr>
                <w:rFonts w:ascii="仿宋_GB2312" w:hAnsi="仿宋_GB2312" w:cs="仿宋_GB2312" w:eastAsia="仿宋_GB2312"/>
              </w:rPr>
              <w:t>控制终端</w:t>
            </w:r>
          </w:p>
        </w:tc>
        <w:tc>
          <w:tcPr>
            <w:tcW w:type="dxa" w:w="2492"/>
          </w:tcPr>
          <w:p>
            <w:pPr>
              <w:pStyle w:val="null3"/>
              <w:jc w:val="left"/>
            </w:pPr>
            <w:r>
              <w:rPr>
                <w:rFonts w:ascii="仿宋_GB2312" w:hAnsi="仿宋_GB2312" w:cs="仿宋_GB2312" w:eastAsia="仿宋_GB2312"/>
              </w:rPr>
              <w:t>控制终端（含显示器）</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四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四章规定。</w:t>
      </w:r>
    </w:p>
    <w:p>
      <w:pPr>
        <w:pStyle w:val="null3"/>
        <w:jc w:val="left"/>
      </w:pPr>
      <w:r>
        <w:rPr>
          <w:rFonts w:ascii="仿宋_GB2312" w:hAnsi="仿宋_GB2312" w:cs="仿宋_GB2312" w:eastAsia="仿宋_GB2312"/>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A02021103 LED 显示屏</w:t>
            </w:r>
          </w:p>
        </w:tc>
        <w:tc>
          <w:tcPr>
            <w:tcW w:type="dxa" w:w="2492"/>
          </w:tcPr>
          <w:p>
            <w:pPr>
              <w:pStyle w:val="null3"/>
              <w:jc w:val="left"/>
            </w:pPr>
            <w:r>
              <w:rPr>
                <w:rFonts w:ascii="仿宋_GB2312" w:hAnsi="仿宋_GB2312" w:cs="仿宋_GB2312" w:eastAsia="仿宋_GB2312"/>
              </w:rPr>
              <w:t>控制终端</w:t>
            </w:r>
          </w:p>
        </w:tc>
        <w:tc>
          <w:tcPr>
            <w:tcW w:type="dxa" w:w="2492"/>
          </w:tcPr>
          <w:p>
            <w:pPr>
              <w:pStyle w:val="null3"/>
              <w:jc w:val="left"/>
            </w:pPr>
            <w:r>
              <w:rPr>
                <w:rFonts w:ascii="仿宋_GB2312" w:hAnsi="仿宋_GB2312" w:cs="仿宋_GB2312" w:eastAsia="仿宋_GB2312"/>
              </w:rPr>
              <w:t>控制终端（含显示器）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A02021103 LED 显示屏</w:t>
            </w:r>
          </w:p>
        </w:tc>
        <w:tc>
          <w:tcPr>
            <w:tcW w:type="dxa" w:w="2492"/>
          </w:tcPr>
          <w:p>
            <w:pPr>
              <w:pStyle w:val="null3"/>
              <w:jc w:val="left"/>
            </w:pPr>
            <w:r>
              <w:rPr>
                <w:rFonts w:ascii="仿宋_GB2312" w:hAnsi="仿宋_GB2312" w:cs="仿宋_GB2312" w:eastAsia="仿宋_GB2312"/>
              </w:rPr>
              <w:t>技术统计桌（含底架）</w:t>
            </w:r>
          </w:p>
        </w:tc>
        <w:tc>
          <w:tcPr>
            <w:tcW w:type="dxa" w:w="2492"/>
          </w:tcPr>
          <w:p>
            <w:pPr>
              <w:pStyle w:val="null3"/>
              <w:jc w:val="left"/>
            </w:pPr>
            <w:r>
              <w:rPr>
                <w:rFonts w:ascii="仿宋_GB2312" w:hAnsi="仿宋_GB2312" w:cs="仿宋_GB2312" w:eastAsia="仿宋_GB2312"/>
              </w:rPr>
              <w:t>技术统计桌（含底架）</w:t>
            </w:r>
          </w:p>
        </w:tc>
      </w:tr>
    </w:tbl>
    <w:p>
      <w:pPr>
        <w:pStyle w:val="null3"/>
        <w:ind w:firstLine="480"/>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四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标的名称：音响系统</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技术参数</w:t>
            </w:r>
          </w:p>
        </w:tc>
        <w:tc>
          <w:tcPr>
            <w:tcW w:type="dxa" w:w="5814"/>
          </w:tcPr>
          <w:p>
            <w:pPr>
              <w:pStyle w:val="null3"/>
              <w:jc w:val="left"/>
            </w:pPr>
            <w:r>
              <w:rPr>
                <w:rFonts w:ascii="仿宋_GB2312" w:hAnsi="仿宋_GB2312" w:cs="仿宋_GB2312" w:eastAsia="仿宋_GB2312"/>
              </w:rPr>
              <w:t>音箱（8套）：</w:t>
            </w:r>
          </w:p>
          <w:p>
            <w:pPr>
              <w:pStyle w:val="null3"/>
              <w:jc w:val="left"/>
            </w:pPr>
            <w:r>
              <w:rPr>
                <w:rFonts w:ascii="仿宋_GB2312" w:hAnsi="仿宋_GB2312" w:cs="仿宋_GB2312" w:eastAsia="仿宋_GB2312"/>
              </w:rPr>
              <w:t>1、音箱：失真限制输出功率:8欧姆≥600W*2, 4欧姆≥900W*2;桥接功率：8欧姆≥1200W ;2、总谐波失真（1KHz）:≥0.08%；3、信噪比（A计权）：≥105dB；4、频率响应：0Hz-20KHz(±1dB)；5、输入灵敏度：≥0.7V；6、输入阻抗：10K ohms-20K ohms；</w:t>
            </w:r>
            <w:r>
              <w:br/>
            </w:r>
            <w:r>
              <w:rPr>
                <w:rFonts w:ascii="仿宋_GB2312" w:hAnsi="仿宋_GB2312" w:cs="仿宋_GB2312" w:eastAsia="仿宋_GB2312"/>
              </w:rPr>
              <w:t xml:space="preserve"> 2、纯后级功放：额定噪声功率：≥300W；2、频率响应范围：55Hz-19KHz（-10dB）；3、额定阻抗：8Ω（±20%）；4、平均特性灵敏度：（98±3）dB；5、单元配置：1x12″低音单元  65芯音圈，8Ω；1x44mm高音单元  44芯音圈，1″口径 ，8Ω；</w:t>
            </w:r>
            <w:r>
              <w:br/>
            </w:r>
            <w:r>
              <w:rPr>
                <w:rFonts w:ascii="仿宋_GB2312" w:hAnsi="仿宋_GB2312" w:cs="仿宋_GB2312" w:eastAsia="仿宋_GB2312"/>
              </w:rPr>
              <w:t xml:space="preserve"> 3、失真限制输出功率、信噪比、额定噪声功率、频率响应范围、额定阻抗、平均特性灵敏度部分，签订合同时提供第三方检测报告复印件加盖供应商公章，投标时提供承诺函；</w:t>
            </w:r>
            <w:r>
              <w:br/>
            </w:r>
            <w:r>
              <w:rPr>
                <w:rFonts w:ascii="仿宋_GB2312" w:hAnsi="仿宋_GB2312" w:cs="仿宋_GB2312" w:eastAsia="仿宋_GB2312"/>
              </w:rPr>
              <w:t xml:space="preserve"> 4、包含支架根据现场定制。</w:t>
            </w:r>
          </w:p>
          <w:p>
            <w:pPr>
              <w:pStyle w:val="null3"/>
              <w:jc w:val="left"/>
            </w:pPr>
            <w:r>
              <w:rPr>
                <w:rFonts w:ascii="仿宋_GB2312" w:hAnsi="仿宋_GB2312" w:cs="仿宋_GB2312" w:eastAsia="仿宋_GB2312"/>
              </w:rPr>
              <w:t>音频处理器（2台）：</w:t>
            </w:r>
          </w:p>
          <w:p>
            <w:pPr>
              <w:pStyle w:val="null3"/>
              <w:jc w:val="left"/>
            </w:pPr>
            <w:r>
              <w:rPr>
                <w:rFonts w:ascii="仿宋_GB2312" w:hAnsi="仿宋_GB2312" w:cs="仿宋_GB2312" w:eastAsia="仿宋_GB2312"/>
              </w:rPr>
              <w:t>1.4路独立模拟音频平衡输入，8路独立模拟音频平衡输出，每路输入设置可以软件或面板LCD显示屏菜单手动调整；</w:t>
            </w:r>
            <w:r>
              <w:br/>
            </w:r>
            <w:r>
              <w:rPr>
                <w:rFonts w:ascii="仿宋_GB2312" w:hAnsi="仿宋_GB2312" w:cs="仿宋_GB2312" w:eastAsia="仿宋_GB2312"/>
              </w:rPr>
              <w:t xml:space="preserve"> 2.具有高精度96KHz/24bit DSP技术，高性能AD/DA，DSP芯片采用强大的，ADI SHARC 21489通用芯片</w:t>
            </w:r>
            <w:r>
              <w:br/>
            </w:r>
            <w:r>
              <w:rPr>
                <w:rFonts w:ascii="仿宋_GB2312" w:hAnsi="仿宋_GB2312" w:cs="仿宋_GB2312" w:eastAsia="仿宋_GB2312"/>
              </w:rPr>
              <w:t xml:space="preserve"> 3.输入15段PEQ，输出10段PEQ可调，带高低架和全通滤波器，输入输出都带48阶高低通分频器，集成压缩器、限幅器、分频器、延时器、均衡器等；                                                                                                               </w:t>
            </w:r>
            <w:r>
              <w:br/>
            </w:r>
            <w:r>
              <w:rPr>
                <w:rFonts w:ascii="仿宋_GB2312" w:hAnsi="仿宋_GB2312" w:cs="仿宋_GB2312" w:eastAsia="仿宋_GB2312"/>
              </w:rPr>
              <w:t xml:space="preserve"> 4.全通滤波器ALLpass，可以调节喇叭或音箱的分频点相位耦合；                                                                   </w:t>
            </w:r>
            <w:r>
              <w:br/>
            </w:r>
            <w:r>
              <w:rPr>
                <w:rFonts w:ascii="仿宋_GB2312" w:hAnsi="仿宋_GB2312" w:cs="仿宋_GB2312" w:eastAsia="仿宋_GB2312"/>
              </w:rPr>
              <w:t xml:space="preserve"> 5.有限脉冲响应滤波器FIR，区别于传统IIR滤波器，FIR滤波器更稳定，实现调试EQ和分频不影响相位，更可以实现相位校正功能，</w:t>
            </w:r>
          </w:p>
          <w:p>
            <w:pPr>
              <w:pStyle w:val="null3"/>
              <w:jc w:val="left"/>
            </w:pPr>
            <w:r>
              <w:rPr>
                <w:rFonts w:ascii="仿宋_GB2312" w:hAnsi="仿宋_GB2312" w:cs="仿宋_GB2312" w:eastAsia="仿宋_GB2312"/>
              </w:rPr>
              <w:t>6.每路输出通道均有压缩器和限幅可调节各压缩器的门限值，压缩比，启控时间和释放时间，软硬拐点节；</w:t>
            </w:r>
            <w:r>
              <w:br/>
            </w:r>
            <w:r>
              <w:rPr>
                <w:rFonts w:ascii="仿宋_GB2312" w:hAnsi="仿宋_GB2312" w:cs="仿宋_GB2312" w:eastAsia="仿宋_GB2312"/>
              </w:rPr>
              <w:t xml:space="preserve"> 7.USB免驱自动连接软件，另外支持RS232中控控制，支持TCP/IP局域网远程控制。</w:t>
            </w:r>
          </w:p>
          <w:p>
            <w:pPr>
              <w:pStyle w:val="null3"/>
              <w:jc w:val="left"/>
            </w:pPr>
            <w:r>
              <w:rPr>
                <w:rFonts w:ascii="仿宋_GB2312" w:hAnsi="仿宋_GB2312" w:cs="仿宋_GB2312" w:eastAsia="仿宋_GB2312"/>
              </w:rPr>
              <w:t>电源时序器（2台）：</w:t>
            </w:r>
          </w:p>
          <w:p>
            <w:pPr>
              <w:pStyle w:val="null3"/>
              <w:jc w:val="left"/>
            </w:pPr>
            <w:r>
              <w:rPr>
                <w:rFonts w:ascii="仿宋_GB2312" w:hAnsi="仿宋_GB2312" w:cs="仿宋_GB2312" w:eastAsia="仿宋_GB2312"/>
              </w:rPr>
              <w:t>1、通道数量：≥8路；实时监控电源电压的LED显示；</w:t>
            </w:r>
            <w:r>
              <w:br/>
            </w:r>
            <w:r>
              <w:rPr>
                <w:rFonts w:ascii="仿宋_GB2312" w:hAnsi="仿宋_GB2312" w:cs="仿宋_GB2312" w:eastAsia="仿宋_GB2312"/>
              </w:rPr>
              <w:t xml:space="preserve"> 2、可选的旁路单通道，并带有USB灯光接口；</w:t>
            </w:r>
            <w:r>
              <w:br/>
            </w:r>
            <w:r>
              <w:rPr>
                <w:rFonts w:ascii="仿宋_GB2312" w:hAnsi="仿宋_GB2312" w:cs="仿宋_GB2312" w:eastAsia="仿宋_GB2312"/>
              </w:rPr>
              <w:t xml:space="preserve"> 3、内含微控制器，从1路到8路顺序开机和从8路到1路逆序关机。</w:t>
            </w:r>
          </w:p>
          <w:p>
            <w:pPr>
              <w:pStyle w:val="null3"/>
              <w:jc w:val="left"/>
            </w:pPr>
            <w:r>
              <w:rPr>
                <w:rFonts w:ascii="仿宋_GB2312" w:hAnsi="仿宋_GB2312" w:cs="仿宋_GB2312" w:eastAsia="仿宋_GB2312"/>
              </w:rPr>
              <w:t>调音台（1台）：</w:t>
            </w:r>
          </w:p>
          <w:p>
            <w:pPr>
              <w:pStyle w:val="null3"/>
              <w:jc w:val="left"/>
            </w:pPr>
            <w:r>
              <w:rPr>
                <w:rFonts w:ascii="仿宋_GB2312" w:hAnsi="仿宋_GB2312" w:cs="仿宋_GB2312" w:eastAsia="仿宋_GB2312"/>
              </w:rPr>
              <w:t>1、十路话筒输入，≥8路（四组）立体声输入，其中2路为话筒输入和立体声共用；</w:t>
            </w:r>
            <w:r>
              <w:br/>
            </w:r>
            <w:r>
              <w:rPr>
                <w:rFonts w:ascii="仿宋_GB2312" w:hAnsi="仿宋_GB2312" w:cs="仿宋_GB2312" w:eastAsia="仿宋_GB2312"/>
              </w:rPr>
              <w:t xml:space="preserve"> 2、单声道输入通道每路带独立的48V幻像供电开关，1-8路每路带100Hz低切功能；</w:t>
            </w:r>
            <w:r>
              <w:br/>
            </w:r>
            <w:r>
              <w:rPr>
                <w:rFonts w:ascii="仿宋_GB2312" w:hAnsi="仿宋_GB2312" w:cs="仿宋_GB2312" w:eastAsia="仿宋_GB2312"/>
              </w:rPr>
              <w:t xml:space="preserve"> 3、话筒输入高中低三段均衡，12-16路立体声高低两段均衡，输入推子60mm±5，手感平滑；  </w:t>
            </w:r>
            <w:r>
              <w:br/>
            </w:r>
            <w:r>
              <w:rPr>
                <w:rFonts w:ascii="仿宋_GB2312" w:hAnsi="仿宋_GB2312" w:cs="仿宋_GB2312" w:eastAsia="仿宋_GB2312"/>
              </w:rPr>
              <w:t xml:space="preserve"> 4、USB播放功能，带液晶显示屏，可以显示歌曲名字和歌词，支持MP3,WAV等多种格式，中英文界面可选，循环模式可选；</w:t>
            </w:r>
            <w:r>
              <w:br/>
            </w:r>
            <w:r>
              <w:rPr>
                <w:rFonts w:ascii="仿宋_GB2312" w:hAnsi="仿宋_GB2312" w:cs="仿宋_GB2312" w:eastAsia="仿宋_GB2312"/>
              </w:rPr>
              <w:t xml:space="preserve"> 5、带蓝牙功能，可以直接蓝牙输入音频，带U盘录音功能。</w:t>
            </w:r>
          </w:p>
          <w:p>
            <w:pPr>
              <w:pStyle w:val="null3"/>
              <w:jc w:val="left"/>
            </w:pPr>
            <w:r>
              <w:rPr>
                <w:rFonts w:ascii="仿宋_GB2312" w:hAnsi="仿宋_GB2312" w:cs="仿宋_GB2312" w:eastAsia="仿宋_GB2312"/>
              </w:rPr>
              <w:t>无线话筒（2套）：</w:t>
            </w:r>
          </w:p>
          <w:p>
            <w:pPr>
              <w:pStyle w:val="null3"/>
              <w:jc w:val="left"/>
            </w:pPr>
            <w:r>
              <w:rPr>
                <w:rFonts w:ascii="仿宋_GB2312" w:hAnsi="仿宋_GB2312" w:cs="仿宋_GB2312" w:eastAsia="仿宋_GB2312"/>
              </w:rPr>
              <w:t>1、使用距离：200米以上，空阔空间约达200-300米；</w:t>
            </w:r>
            <w:r>
              <w:br/>
            </w:r>
            <w:r>
              <w:rPr>
                <w:rFonts w:ascii="仿宋_GB2312" w:hAnsi="仿宋_GB2312" w:cs="仿宋_GB2312" w:eastAsia="仿宋_GB2312"/>
              </w:rPr>
              <w:t xml:space="preserve"> 2、载波频段:UHF 620-820MHz；振荡方式：PLL锁相环频率合成技术, 红外线对频；                                                  </w:t>
            </w:r>
            <w:r>
              <w:br/>
            </w:r>
            <w:r>
              <w:rPr>
                <w:rFonts w:ascii="仿宋_GB2312" w:hAnsi="仿宋_GB2312" w:cs="仿宋_GB2312" w:eastAsia="仿宋_GB2312"/>
              </w:rPr>
              <w:t xml:space="preserve"> 3、双通道接收信号,采用微电脑双CPU控制；</w:t>
            </w:r>
            <w:r>
              <w:br/>
            </w:r>
            <w:r>
              <w:rPr>
                <w:rFonts w:ascii="仿宋_GB2312" w:hAnsi="仿宋_GB2312" w:cs="仿宋_GB2312" w:eastAsia="仿宋_GB2312"/>
              </w:rPr>
              <w:t xml:space="preserve"> 3、各通道配备独有的ID号，增强抗干扰功能，支持≥8台叠机使用（即8台接收机和16个通道发射器）。</w:t>
            </w:r>
          </w:p>
          <w:p>
            <w:pPr>
              <w:pStyle w:val="null3"/>
              <w:jc w:val="left"/>
            </w:pPr>
            <w:r>
              <w:rPr>
                <w:rFonts w:ascii="仿宋_GB2312" w:hAnsi="仿宋_GB2312" w:cs="仿宋_GB2312" w:eastAsia="仿宋_GB2312"/>
              </w:rPr>
              <w:t>天线放大器（1套）：</w:t>
            </w:r>
          </w:p>
          <w:p>
            <w:pPr>
              <w:pStyle w:val="null3"/>
              <w:jc w:val="left"/>
            </w:pPr>
            <w:r>
              <w:rPr>
                <w:rFonts w:ascii="仿宋_GB2312" w:hAnsi="仿宋_GB2312" w:cs="仿宋_GB2312" w:eastAsia="仿宋_GB2312"/>
              </w:rPr>
              <w:t xml:space="preserve">1.频率范围：500-900MHz；提供使用2~4台UHF无线系列或其他系列各种自动选讯接收机的多頻道系统，共用一对天线，以简化天线装配工程，提升接收距离及效能；                                                           </w:t>
            </w:r>
            <w:r>
              <w:br/>
            </w:r>
            <w:r>
              <w:rPr>
                <w:rFonts w:ascii="仿宋_GB2312" w:hAnsi="仿宋_GB2312" w:cs="仿宋_GB2312" w:eastAsia="仿宋_GB2312"/>
              </w:rPr>
              <w:t xml:space="preserve"> 2.输入截断点：不低于+22dBm；</w:t>
            </w:r>
            <w:r>
              <w:br/>
            </w:r>
            <w:r>
              <w:rPr>
                <w:rFonts w:ascii="仿宋_GB2312" w:hAnsi="仿宋_GB2312" w:cs="仿宋_GB2312" w:eastAsia="仿宋_GB2312"/>
              </w:rPr>
              <w:t xml:space="preserve"> 3.噪声比：≤4.0dB；</w:t>
            </w:r>
            <w:r>
              <w:br/>
            </w:r>
            <w:r>
              <w:rPr>
                <w:rFonts w:ascii="仿宋_GB2312" w:hAnsi="仿宋_GB2312" w:cs="仿宋_GB2312" w:eastAsia="仿宋_GB2312"/>
              </w:rPr>
              <w:t xml:space="preserve"> 4.增益：+6-9dB；</w:t>
            </w:r>
            <w:r>
              <w:br/>
            </w:r>
            <w:r>
              <w:rPr>
                <w:rFonts w:ascii="仿宋_GB2312" w:hAnsi="仿宋_GB2312" w:cs="仿宋_GB2312" w:eastAsia="仿宋_GB2312"/>
              </w:rPr>
              <w:t xml:space="preserve"> 5.提供使用2~4台UHF无线系列或其他系列各种自动选讯接收机的多頻道系统，共用一对天线，以简化天线装配工程，提升接收距离及效能。</w:t>
            </w:r>
          </w:p>
        </w:tc>
      </w:tr>
    </w:tbl>
    <w:p>
      <w:pPr>
        <w:pStyle w:val="null3"/>
        <w:jc w:val="left"/>
      </w:pPr>
      <w:r>
        <w:rPr>
          <w:rFonts w:ascii="仿宋_GB2312" w:hAnsi="仿宋_GB2312" w:cs="仿宋_GB2312" w:eastAsia="仿宋_GB2312"/>
        </w:rPr>
        <w:t>标的名称：全彩LED显示屏</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技术参数</w:t>
            </w:r>
          </w:p>
        </w:tc>
        <w:tc>
          <w:tcPr>
            <w:tcW w:type="dxa" w:w="5814"/>
          </w:tcPr>
          <w:p>
            <w:pPr>
              <w:pStyle w:val="null3"/>
              <w:jc w:val="left"/>
            </w:pPr>
            <w:r>
              <w:rPr>
                <w:rFonts w:ascii="仿宋_GB2312" w:hAnsi="仿宋_GB2312" w:cs="仿宋_GB2312" w:eastAsia="仿宋_GB2312"/>
              </w:rPr>
              <w:t>1.室内全彩，P1.5或以内；</w:t>
            </w:r>
            <w:r>
              <w:br/>
            </w:r>
            <w:r>
              <w:rPr>
                <w:rFonts w:ascii="仿宋_GB2312" w:hAnsi="仿宋_GB2312" w:cs="仿宋_GB2312" w:eastAsia="仿宋_GB2312"/>
              </w:rPr>
              <w:t xml:space="preserve"> 2.具有拼缝微调节技术，模组平整度/间隙：≤0.1mm，模组间相对错位值：≤1%；</w:t>
            </w:r>
            <w:r>
              <w:br/>
            </w:r>
            <w:r>
              <w:rPr>
                <w:rFonts w:ascii="仿宋_GB2312" w:hAnsi="仿宋_GB2312" w:cs="仿宋_GB2312" w:eastAsia="仿宋_GB2312"/>
              </w:rPr>
              <w:t xml:space="preserve"> 3.水平/垂直相对错位等级符合SJ/T 11281-2017要求，错位等级≤0.1%；</w:t>
            </w:r>
            <w:r>
              <w:br/>
            </w:r>
            <w:r>
              <w:rPr>
                <w:rFonts w:ascii="仿宋_GB2312" w:hAnsi="仿宋_GB2312" w:cs="仿宋_GB2312" w:eastAsia="仿宋_GB2312"/>
              </w:rPr>
              <w:t xml:space="preserve"> 4.亮度≥500cd/㎡支持软件0-100%调节，发光点中心距偏差≤0.8%，亮度均匀性≥98%；</w:t>
            </w:r>
            <w:r>
              <w:br/>
            </w:r>
            <w:r>
              <w:rPr>
                <w:rFonts w:ascii="仿宋_GB2312" w:hAnsi="仿宋_GB2312" w:cs="仿宋_GB2312" w:eastAsia="仿宋_GB2312"/>
              </w:rPr>
              <w:t xml:space="preserve"> 5.最大功耗:≤420W/㎡，平均功耗：≤130W/㎡；</w:t>
            </w:r>
            <w:r>
              <w:br/>
            </w:r>
            <w:r>
              <w:rPr>
                <w:rFonts w:ascii="仿宋_GB2312" w:hAnsi="仿宋_GB2312" w:cs="仿宋_GB2312" w:eastAsia="仿宋_GB2312"/>
              </w:rPr>
              <w:t xml:space="preserve"> 6.水平/垂直视角：≥170°/170°，色度均匀性：±0.001CxCy之内；</w:t>
            </w:r>
            <w:r>
              <w:br/>
            </w:r>
            <w:r>
              <w:rPr>
                <w:rFonts w:ascii="仿宋_GB2312" w:hAnsi="仿宋_GB2312" w:cs="仿宋_GB2312" w:eastAsia="仿宋_GB2312"/>
              </w:rPr>
              <w:t xml:space="preserve"> 7.色温：2500-18000K可调，色温为6500K时，100%，75%，50%，25%四档电平白场调节色温误差≤100K；</w:t>
            </w:r>
            <w:r>
              <w:br/>
            </w:r>
            <w:r>
              <w:rPr>
                <w:rFonts w:ascii="仿宋_GB2312" w:hAnsi="仿宋_GB2312" w:cs="仿宋_GB2312" w:eastAsia="仿宋_GB2312"/>
              </w:rPr>
              <w:t xml:space="preserve"> 8.刷新率：≥3840Hz;</w:t>
            </w:r>
            <w:r>
              <w:br/>
            </w:r>
            <w:r>
              <w:rPr>
                <w:rFonts w:ascii="仿宋_GB2312" w:hAnsi="仿宋_GB2312" w:cs="仿宋_GB2312" w:eastAsia="仿宋_GB2312"/>
              </w:rPr>
              <w:t xml:space="preserve"> 9.平均寿命≥100000h,平均故障修复时间≤3min；</w:t>
            </w:r>
            <w:r>
              <w:br/>
            </w:r>
            <w:r>
              <w:rPr>
                <w:rFonts w:ascii="仿宋_GB2312" w:hAnsi="仿宋_GB2312" w:cs="仿宋_GB2312" w:eastAsia="仿宋_GB2312"/>
              </w:rPr>
              <w:t xml:space="preserve"> 10.抗震等级 ≥9级；</w:t>
            </w:r>
            <w:r>
              <w:br/>
            </w:r>
            <w:r>
              <w:rPr>
                <w:rFonts w:ascii="仿宋_GB2312" w:hAnsi="仿宋_GB2312" w:cs="仿宋_GB2312" w:eastAsia="仿宋_GB2312"/>
              </w:rPr>
              <w:t xml:space="preserve"> 11.逐点校正功能：支持单点亮度色度校正功能，校正后亮度损失≤8%；</w:t>
            </w:r>
            <w:r>
              <w:br/>
            </w:r>
            <w:r>
              <w:rPr>
                <w:rFonts w:ascii="仿宋_GB2312" w:hAnsi="仿宋_GB2312" w:cs="仿宋_GB2312" w:eastAsia="仿宋_GB2312"/>
              </w:rPr>
              <w:t xml:space="preserve"> 12.显示屏支持抑制摩尔纹功能；</w:t>
            </w:r>
            <w:r>
              <w:br/>
            </w:r>
            <w:r>
              <w:rPr>
                <w:rFonts w:ascii="仿宋_GB2312" w:hAnsi="仿宋_GB2312" w:cs="仿宋_GB2312" w:eastAsia="仿宋_GB2312"/>
              </w:rPr>
              <w:t xml:space="preserve"> 13.采用黑色防眩光设计；</w:t>
            </w:r>
            <w:r>
              <w:br/>
            </w:r>
            <w:r>
              <w:rPr>
                <w:rFonts w:ascii="仿宋_GB2312" w:hAnsi="仿宋_GB2312" w:cs="仿宋_GB2312" w:eastAsia="仿宋_GB2312"/>
              </w:rPr>
              <w:t xml:space="preserve"> 14.视觉舒适度：（VICO指数）范围在0-1级；</w:t>
            </w:r>
            <w:r>
              <w:br/>
            </w:r>
            <w:r>
              <w:rPr>
                <w:rFonts w:ascii="仿宋_GB2312" w:hAnsi="仿宋_GB2312" w:cs="仿宋_GB2312" w:eastAsia="仿宋_GB2312"/>
              </w:rPr>
              <w:t xml:space="preserve"> 15.纳秒级显示技术无拖尾重影叠加现象，画面延时≤1ms，画面信噪比≥60dB；</w:t>
            </w:r>
            <w:r>
              <w:br/>
            </w:r>
            <w:r>
              <w:rPr>
                <w:rFonts w:ascii="仿宋_GB2312" w:hAnsi="仿宋_GB2312" w:cs="仿宋_GB2312" w:eastAsia="仿宋_GB2312"/>
              </w:rPr>
              <w:t xml:space="preserve"> 16.具备0级防霉特性;</w:t>
            </w:r>
            <w:r>
              <w:br/>
            </w:r>
            <w:r>
              <w:rPr>
                <w:rFonts w:ascii="仿宋_GB2312" w:hAnsi="仿宋_GB2312" w:cs="仿宋_GB2312" w:eastAsia="仿宋_GB2312"/>
              </w:rPr>
              <w:t xml:space="preserve"> 17.具有过流、短路、过压、欠压保护功能，具有防潮、防尘、防腐蚀功能，在95%RH范围内可正常工作和储存；</w:t>
            </w:r>
            <w:r>
              <w:br/>
            </w:r>
            <w:r>
              <w:rPr>
                <w:rFonts w:ascii="仿宋_GB2312" w:hAnsi="仿宋_GB2312" w:cs="仿宋_GB2312" w:eastAsia="仿宋_GB2312"/>
              </w:rPr>
              <w:t xml:space="preserve"> 18.显示屏接收卡：1、长2高4对开；2、单卡最大带载分辨率512x384@60Hz。</w:t>
            </w:r>
            <w:r>
              <w:br/>
            </w:r>
            <w:r>
              <w:rPr>
                <w:rFonts w:ascii="仿宋_GB2312" w:hAnsi="仿宋_GB2312" w:cs="仿宋_GB2312" w:eastAsia="仿宋_GB2312"/>
              </w:rPr>
              <w:t xml:space="preserve"> 19.电源：1、带载方式：1带6；2、额定输入电压：200-240VAC；3、输入电流：≤3A。</w:t>
            </w:r>
            <w:r>
              <w:br/>
            </w:r>
            <w:r>
              <w:rPr>
                <w:rFonts w:ascii="仿宋_GB2312" w:hAnsi="仿宋_GB2312" w:cs="仿宋_GB2312" w:eastAsia="仿宋_GB2312"/>
              </w:rPr>
              <w:t xml:space="preserve"> 20.工程结构:Q235B钢材。桥架：200*100；护线管：JDG25.</w:t>
            </w:r>
            <w:r>
              <w:br/>
            </w:r>
            <w:r>
              <w:rPr>
                <w:rFonts w:ascii="仿宋_GB2312" w:hAnsi="仿宋_GB2312" w:cs="仿宋_GB2312" w:eastAsia="仿宋_GB2312"/>
              </w:rPr>
              <w:t xml:space="preserve"> 21.包边装饰：不锈钢拉丝</w:t>
            </w:r>
            <w:r>
              <w:br/>
            </w:r>
            <w:r>
              <w:rPr>
                <w:rFonts w:ascii="仿宋_GB2312" w:hAnsi="仿宋_GB2312" w:cs="仿宋_GB2312" w:eastAsia="仿宋_GB2312"/>
              </w:rPr>
              <w:t xml:space="preserve"> 以上2-17条参数，签订合同时提供封面具有CMA标识的第三方检测报告复印件加盖供应商公章，投标时提供承诺函。</w:t>
            </w:r>
          </w:p>
        </w:tc>
      </w:tr>
    </w:tbl>
    <w:p>
      <w:pPr>
        <w:pStyle w:val="null3"/>
        <w:jc w:val="left"/>
      </w:pPr>
      <w:r>
        <w:rPr>
          <w:rFonts w:ascii="仿宋_GB2312" w:hAnsi="仿宋_GB2312" w:cs="仿宋_GB2312" w:eastAsia="仿宋_GB2312"/>
        </w:rPr>
        <w:t>标的名称：控制终端</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技术参数</w:t>
            </w:r>
          </w:p>
        </w:tc>
        <w:tc>
          <w:tcPr>
            <w:tcW w:type="dxa" w:w="5814"/>
          </w:tcPr>
          <w:p>
            <w:pPr>
              <w:pStyle w:val="null3"/>
              <w:jc w:val="left"/>
            </w:pPr>
            <w:r>
              <w:rPr>
                <w:rFonts w:ascii="仿宋_GB2312" w:hAnsi="仿宋_GB2312" w:cs="仿宋_GB2312" w:eastAsia="仿宋_GB2312"/>
              </w:rPr>
              <w:t>不低于I5处理器，不低于8G内存；</w:t>
            </w:r>
          </w:p>
          <w:p>
            <w:pPr>
              <w:pStyle w:val="null3"/>
              <w:jc w:val="left"/>
            </w:pPr>
            <w:r>
              <w:rPr>
                <w:rFonts w:ascii="仿宋_GB2312" w:hAnsi="仿宋_GB2312" w:cs="仿宋_GB2312" w:eastAsia="仿宋_GB2312"/>
              </w:rPr>
              <w:t>显示器≥21英寸；</w:t>
            </w:r>
          </w:p>
          <w:p>
            <w:pPr>
              <w:pStyle w:val="null3"/>
              <w:jc w:val="left"/>
            </w:pPr>
            <w:r>
              <w:rPr>
                <w:rFonts w:ascii="仿宋_GB2312" w:hAnsi="仿宋_GB2312" w:cs="仿宋_GB2312" w:eastAsia="仿宋_GB2312"/>
              </w:rPr>
              <w:t>篮球赛专用软件：</w:t>
            </w:r>
          </w:p>
          <w:p>
            <w:pPr>
              <w:pStyle w:val="null3"/>
              <w:jc w:val="left"/>
            </w:pPr>
            <w:r>
              <w:rPr>
                <w:rFonts w:ascii="仿宋_GB2312" w:hAnsi="仿宋_GB2312" w:cs="仿宋_GB2312" w:eastAsia="仿宋_GB2312"/>
              </w:rPr>
              <w:t xml:space="preserve">1.赛事管理，支持创建、编辑赛事信息（名称、时间、地点、规则等），分组管理（小组赛、淘汰赛等），自动生成赛程。  </w:t>
            </w:r>
            <w:r>
              <w:br/>
            </w:r>
            <w:r>
              <w:rPr>
                <w:rFonts w:ascii="仿宋_GB2312" w:hAnsi="仿宋_GB2312" w:cs="仿宋_GB2312" w:eastAsia="仿宋_GB2312"/>
              </w:rPr>
              <w:t xml:space="preserve"> 2.球队与球员管理，录入球队信息（名称、队徽等）及球员资料（姓名、号码、位置等），支持数据导入/导出（Excel等格式）。  </w:t>
            </w:r>
            <w:r>
              <w:br/>
            </w:r>
            <w:r>
              <w:rPr>
                <w:rFonts w:ascii="仿宋_GB2312" w:hAnsi="仿宋_GB2312" w:cs="仿宋_GB2312" w:eastAsia="仿宋_GB2312"/>
              </w:rPr>
              <w:t xml:space="preserve"> 3.支持比赛数据统计，实时记录得分、篮板、助攻、犯规等基础数据。  </w:t>
            </w:r>
            <w:r>
              <w:br/>
            </w:r>
            <w:r>
              <w:rPr>
                <w:rFonts w:ascii="仿宋_GB2312" w:hAnsi="仿宋_GB2312" w:cs="仿宋_GB2312" w:eastAsia="仿宋_GB2312"/>
              </w:rPr>
              <w:t xml:space="preserve"> 4.支持实时比分与计时功能  </w:t>
            </w:r>
            <w:r>
              <w:br/>
            </w:r>
            <w:r>
              <w:rPr>
                <w:rFonts w:ascii="仿宋_GB2312" w:hAnsi="仿宋_GB2312" w:cs="仿宋_GB2312" w:eastAsia="仿宋_GB2312"/>
              </w:rPr>
              <w:t xml:space="preserve"> 5.支持裁判与执裁工具记录，支持电子签名确认。  </w:t>
            </w:r>
            <w:r>
              <w:br/>
            </w:r>
            <w:r>
              <w:rPr>
                <w:rFonts w:ascii="仿宋_GB2312" w:hAnsi="仿宋_GB2312" w:cs="仿宋_GB2312" w:eastAsia="仿宋_GB2312"/>
              </w:rPr>
              <w:t xml:space="preserve"> 6.支持直播与转播  </w:t>
            </w:r>
            <w:r>
              <w:br/>
            </w:r>
            <w:r>
              <w:rPr>
                <w:rFonts w:ascii="仿宋_GB2312" w:hAnsi="仿宋_GB2312" w:cs="仿宋_GB2312" w:eastAsia="仿宋_GB2312"/>
              </w:rPr>
              <w:t xml:space="preserve"> 7.支持数据共享与发布</w:t>
            </w:r>
            <w:r>
              <w:br/>
            </w:r>
            <w:r>
              <w:rPr>
                <w:rFonts w:ascii="仿宋_GB2312" w:hAnsi="仿宋_GB2312" w:cs="仿宋_GB2312" w:eastAsia="仿宋_GB2312"/>
              </w:rPr>
              <w:t xml:space="preserve"> 8.支持多终端设备，支持离线操作。</w:t>
            </w:r>
          </w:p>
        </w:tc>
      </w:tr>
    </w:tbl>
    <w:p>
      <w:pPr>
        <w:pStyle w:val="null3"/>
        <w:jc w:val="left"/>
      </w:pPr>
      <w:r>
        <w:rPr>
          <w:rFonts w:ascii="仿宋_GB2312" w:hAnsi="仿宋_GB2312" w:cs="仿宋_GB2312" w:eastAsia="仿宋_GB2312"/>
        </w:rPr>
        <w:t>标的名称：屏体控制器</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技术参数</w:t>
            </w:r>
          </w:p>
        </w:tc>
        <w:tc>
          <w:tcPr>
            <w:tcW w:type="dxa" w:w="5814"/>
          </w:tcPr>
          <w:p>
            <w:pPr>
              <w:pStyle w:val="null3"/>
              <w:jc w:val="left"/>
            </w:pPr>
            <w:r>
              <w:rPr>
                <w:rFonts w:ascii="仿宋_GB2312" w:hAnsi="仿宋_GB2312" w:cs="仿宋_GB2312" w:eastAsia="仿宋_GB2312"/>
              </w:rPr>
              <w:t>1.支持 1 路 HDMI 2.0，1路 DP1.2，4路HDMI1.3。</w:t>
            </w:r>
          </w:p>
          <w:p>
            <w:pPr>
              <w:pStyle w:val="null3"/>
              <w:jc w:val="left"/>
            </w:pPr>
            <w:r>
              <w:rPr>
                <w:rFonts w:ascii="仿宋_GB2312" w:hAnsi="仿宋_GB2312" w:cs="仿宋_GB2312" w:eastAsia="仿宋_GB2312"/>
              </w:rPr>
              <w:t>2.支持 16 路网口输出，带载高达 1040 万像素。3.支持 3D功能（配合发射器+3D眼睛使用）输出带载减半。4.支持 2 个 4K×2K+4 个 2K×1K 规格的窗口。</w:t>
            </w:r>
          </w:p>
        </w:tc>
      </w:tr>
    </w:tbl>
    <w:p>
      <w:pPr>
        <w:pStyle w:val="null3"/>
        <w:jc w:val="left"/>
      </w:pPr>
      <w:r>
        <w:rPr>
          <w:rFonts w:ascii="仿宋_GB2312" w:hAnsi="仿宋_GB2312" w:cs="仿宋_GB2312" w:eastAsia="仿宋_GB2312"/>
        </w:rPr>
        <w:t>标的名称：配电柜</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技术参数</w:t>
            </w:r>
          </w:p>
        </w:tc>
        <w:tc>
          <w:tcPr>
            <w:tcW w:type="dxa" w:w="5814"/>
          </w:tcPr>
          <w:p>
            <w:pPr>
              <w:pStyle w:val="null3"/>
              <w:jc w:val="left"/>
            </w:pPr>
            <w:r>
              <w:rPr>
                <w:rFonts w:ascii="仿宋_GB2312" w:hAnsi="仿宋_GB2312" w:cs="仿宋_GB2312" w:eastAsia="仿宋_GB2312"/>
              </w:rPr>
              <w:t>1. 功率：≥10kw，带PLC；</w:t>
            </w:r>
          </w:p>
          <w:p>
            <w:pPr>
              <w:pStyle w:val="null3"/>
              <w:jc w:val="left"/>
            </w:pPr>
            <w:r>
              <w:rPr>
                <w:rFonts w:ascii="仿宋_GB2312" w:hAnsi="仿宋_GB2312" w:cs="仿宋_GB2312" w:eastAsia="仿宋_GB2312"/>
              </w:rPr>
              <w:t>2. 具有过载、过流、过载保护；</w:t>
            </w:r>
          </w:p>
          <w:p>
            <w:pPr>
              <w:pStyle w:val="null3"/>
              <w:jc w:val="left"/>
            </w:pPr>
            <w:r>
              <w:rPr>
                <w:rFonts w:ascii="仿宋_GB2312" w:hAnsi="仿宋_GB2312" w:cs="仿宋_GB2312" w:eastAsia="仿宋_GB2312"/>
              </w:rPr>
              <w:t>3. 通过定制软件控制电源系统的开关,具有温湿度采集；</w:t>
            </w:r>
          </w:p>
          <w:p>
            <w:pPr>
              <w:pStyle w:val="null3"/>
              <w:jc w:val="left"/>
            </w:pPr>
            <w:r>
              <w:rPr>
                <w:rFonts w:ascii="仿宋_GB2312" w:hAnsi="仿宋_GB2312" w:cs="仿宋_GB2312" w:eastAsia="仿宋_GB2312"/>
              </w:rPr>
              <w:t>4. 通过PLC可设定任意时间开启和关闭LED显示屏电源；</w:t>
            </w:r>
          </w:p>
          <w:p>
            <w:pPr>
              <w:pStyle w:val="null3"/>
              <w:jc w:val="left"/>
            </w:pPr>
            <w:r>
              <w:rPr>
                <w:rFonts w:ascii="仿宋_GB2312" w:hAnsi="仿宋_GB2312" w:cs="仿宋_GB2312" w:eastAsia="仿宋_GB2312"/>
              </w:rPr>
              <w:t>5. 通过PLC可设定任意时间关闭计算机。</w:t>
            </w:r>
          </w:p>
        </w:tc>
      </w:tr>
    </w:tbl>
    <w:p>
      <w:pPr>
        <w:pStyle w:val="null3"/>
        <w:jc w:val="left"/>
      </w:pPr>
      <w:r>
        <w:rPr>
          <w:rFonts w:ascii="仿宋_GB2312" w:hAnsi="仿宋_GB2312" w:cs="仿宋_GB2312" w:eastAsia="仿宋_GB2312"/>
        </w:rPr>
        <w:t>标的名称：LED二十四秒显示终端</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技术参数</w:t>
            </w:r>
          </w:p>
        </w:tc>
        <w:tc>
          <w:tcPr>
            <w:tcW w:type="dxa" w:w="5814"/>
          </w:tcPr>
          <w:p>
            <w:pPr>
              <w:pStyle w:val="null3"/>
              <w:jc w:val="left"/>
            </w:pPr>
            <w:r>
              <w:rPr>
                <w:rFonts w:ascii="仿宋_GB2312" w:hAnsi="仿宋_GB2312" w:cs="仿宋_GB2312" w:eastAsia="仿宋_GB2312"/>
              </w:rPr>
              <w:t>摇控;二十四秒专用线另配。</w:t>
            </w:r>
          </w:p>
        </w:tc>
      </w:tr>
    </w:tbl>
    <w:p>
      <w:pPr>
        <w:pStyle w:val="null3"/>
        <w:jc w:val="left"/>
      </w:pPr>
      <w:r>
        <w:rPr>
          <w:rFonts w:ascii="仿宋_GB2312" w:hAnsi="仿宋_GB2312" w:cs="仿宋_GB2312" w:eastAsia="仿宋_GB2312"/>
        </w:rPr>
        <w:t>标的名称：篮球发球权LED显示终端</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技术参数</w:t>
            </w:r>
          </w:p>
        </w:tc>
        <w:tc>
          <w:tcPr>
            <w:tcW w:type="dxa" w:w="5814"/>
          </w:tcPr>
          <w:p>
            <w:pPr>
              <w:pStyle w:val="null3"/>
              <w:jc w:val="left"/>
            </w:pPr>
            <w:r>
              <w:rPr>
                <w:rFonts w:ascii="仿宋_GB2312" w:hAnsi="仿宋_GB2312" w:cs="仿宋_GB2312" w:eastAsia="仿宋_GB2312"/>
              </w:rPr>
              <w:t>发球权显示器（1只/套），控制器（1只/套）。</w:t>
            </w:r>
          </w:p>
        </w:tc>
      </w:tr>
    </w:tbl>
    <w:p>
      <w:pPr>
        <w:pStyle w:val="null3"/>
        <w:jc w:val="left"/>
      </w:pPr>
      <w:r>
        <w:rPr>
          <w:rFonts w:ascii="仿宋_GB2312" w:hAnsi="仿宋_GB2312" w:cs="仿宋_GB2312" w:eastAsia="仿宋_GB2312"/>
        </w:rPr>
        <w:t>标的名称：篮球赛全队犯规器</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技术参数</w:t>
            </w:r>
          </w:p>
        </w:tc>
        <w:tc>
          <w:tcPr>
            <w:tcW w:type="dxa" w:w="5814"/>
          </w:tcPr>
          <w:p>
            <w:pPr>
              <w:pStyle w:val="null3"/>
              <w:jc w:val="left"/>
            </w:pPr>
            <w:r>
              <w:rPr>
                <w:rFonts w:ascii="仿宋_GB2312" w:hAnsi="仿宋_GB2312" w:cs="仿宋_GB2312" w:eastAsia="仿宋_GB2312"/>
              </w:rPr>
              <w:t>控制电缆线： &gt;5米；</w:t>
            </w:r>
            <w:r>
              <w:br/>
            </w:r>
            <w:r>
              <w:rPr>
                <w:rFonts w:ascii="仿宋_GB2312" w:hAnsi="仿宋_GB2312" w:cs="仿宋_GB2312" w:eastAsia="仿宋_GB2312"/>
              </w:rPr>
              <w:t xml:space="preserve"> 电源线： &gt; 1.8米；</w:t>
            </w:r>
            <w:r>
              <w:br/>
            </w:r>
            <w:r>
              <w:rPr>
                <w:rFonts w:ascii="仿宋_GB2312" w:hAnsi="仿宋_GB2312" w:cs="仿宋_GB2312" w:eastAsia="仿宋_GB2312"/>
              </w:rPr>
              <w:t xml:space="preserve"> 电源交流： 220V 50Hz；</w:t>
            </w:r>
            <w:r>
              <w:br/>
            </w:r>
            <w:r>
              <w:rPr>
                <w:rFonts w:ascii="仿宋_GB2312" w:hAnsi="仿宋_GB2312" w:cs="仿宋_GB2312" w:eastAsia="仿宋_GB2312"/>
              </w:rPr>
              <w:t xml:space="preserve"> 功率： ≤100W。</w:t>
            </w:r>
          </w:p>
        </w:tc>
      </w:tr>
    </w:tbl>
    <w:p>
      <w:pPr>
        <w:pStyle w:val="null3"/>
        <w:jc w:val="left"/>
      </w:pPr>
      <w:r>
        <w:rPr>
          <w:rFonts w:ascii="仿宋_GB2312" w:hAnsi="仿宋_GB2312" w:cs="仿宋_GB2312" w:eastAsia="仿宋_GB2312"/>
        </w:rPr>
        <w:t>标的名称：篮球赛记录员讯响器</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技术参数</w:t>
            </w:r>
          </w:p>
        </w:tc>
        <w:tc>
          <w:tcPr>
            <w:tcW w:type="dxa" w:w="5814"/>
          </w:tcPr>
          <w:p>
            <w:pPr>
              <w:pStyle w:val="null3"/>
              <w:jc w:val="left"/>
            </w:pPr>
            <w:r>
              <w:rPr>
                <w:rFonts w:ascii="仿宋_GB2312" w:hAnsi="仿宋_GB2312" w:cs="仿宋_GB2312" w:eastAsia="仿宋_GB2312"/>
              </w:rPr>
              <w:t>控制电缆长：≥5m　</w:t>
            </w:r>
            <w:r>
              <w:br/>
            </w:r>
            <w:r>
              <w:rPr>
                <w:rFonts w:ascii="仿宋_GB2312" w:hAnsi="仿宋_GB2312" w:cs="仿宋_GB2312" w:eastAsia="仿宋_GB2312"/>
              </w:rPr>
              <w:t xml:space="preserve"> 电源线长：≥1.7m</w:t>
            </w:r>
            <w:r>
              <w:br/>
            </w:r>
            <w:r>
              <w:rPr>
                <w:rFonts w:ascii="仿宋_GB2312" w:hAnsi="仿宋_GB2312" w:cs="仿宋_GB2312" w:eastAsia="仿宋_GB2312"/>
              </w:rPr>
              <w:t xml:space="preserve"> 电源：交流220V　50HZ</w:t>
            </w:r>
            <w:r>
              <w:br/>
            </w:r>
            <w:r>
              <w:rPr>
                <w:rFonts w:ascii="仿宋_GB2312" w:hAnsi="仿宋_GB2312" w:cs="仿宋_GB2312" w:eastAsia="仿宋_GB2312"/>
              </w:rPr>
              <w:t xml:space="preserve"> 功率：≤50W</w:t>
            </w:r>
          </w:p>
        </w:tc>
      </w:tr>
    </w:tbl>
    <w:p>
      <w:pPr>
        <w:pStyle w:val="null3"/>
        <w:jc w:val="left"/>
      </w:pPr>
      <w:r>
        <w:rPr>
          <w:rFonts w:ascii="仿宋_GB2312" w:hAnsi="仿宋_GB2312" w:cs="仿宋_GB2312" w:eastAsia="仿宋_GB2312"/>
        </w:rPr>
        <w:t>标的名称：篮球队员犯规次数牌</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技术参数</w:t>
            </w:r>
          </w:p>
        </w:tc>
        <w:tc>
          <w:tcPr>
            <w:tcW w:type="dxa" w:w="5814"/>
          </w:tcPr>
          <w:p>
            <w:pPr>
              <w:pStyle w:val="null3"/>
              <w:jc w:val="left"/>
            </w:pPr>
            <w:r>
              <w:rPr>
                <w:rFonts w:ascii="仿宋_GB2312" w:hAnsi="仿宋_GB2312" w:cs="仿宋_GB2312" w:eastAsia="仿宋_GB2312"/>
              </w:rPr>
              <w:t>EVA材质，7块，数字1-6，其中1-5数字为黑色，5-6为红色。</w:t>
            </w:r>
          </w:p>
        </w:tc>
      </w:tr>
    </w:tbl>
    <w:p>
      <w:pPr>
        <w:pStyle w:val="null3"/>
        <w:jc w:val="left"/>
      </w:pPr>
      <w:r>
        <w:rPr>
          <w:rFonts w:ascii="仿宋_GB2312" w:hAnsi="仿宋_GB2312" w:cs="仿宋_GB2312" w:eastAsia="仿宋_GB2312"/>
        </w:rPr>
        <w:t>标的名称：技术统计桌（含底架）</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技术参数</w:t>
            </w:r>
          </w:p>
        </w:tc>
        <w:tc>
          <w:tcPr>
            <w:tcW w:type="dxa" w:w="5814"/>
          </w:tcPr>
          <w:p>
            <w:pPr>
              <w:pStyle w:val="null3"/>
              <w:jc w:val="left"/>
            </w:pPr>
            <w:r>
              <w:rPr>
                <w:rFonts w:ascii="仿宋_GB2312" w:hAnsi="仿宋_GB2312" w:cs="仿宋_GB2312" w:eastAsia="仿宋_GB2312"/>
              </w:rPr>
              <w:t>记录台不小于：长×宽×高=6×0.79×0.8 (m)。</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知识产权归属和处理方式</w:t>
            </w:r>
          </w:p>
        </w:tc>
        <w:tc>
          <w:tcPr>
            <w:tcW w:type="dxa" w:w="5814"/>
          </w:tcPr>
          <w:p>
            <w:pPr>
              <w:pStyle w:val="null3"/>
              <w:ind w:left="-270" w:firstLine="480"/>
              <w:jc w:val="both"/>
            </w:pPr>
            <w:r>
              <w:rPr>
                <w:rFonts w:ascii="仿宋_GB2312" w:hAnsi="仿宋_GB2312" w:cs="仿宋_GB2312" w:eastAsia="仿宋_GB2312"/>
                <w:sz w:val="24"/>
                <w:color w:val="000000"/>
              </w:rPr>
              <w:t>一、</w:t>
            </w:r>
            <w:r>
              <w:rPr>
                <w:rFonts w:ascii="仿宋_GB2312" w:hAnsi="仿宋_GB2312" w:cs="仿宋_GB2312" w:eastAsia="仿宋_GB2312"/>
                <w:sz w:val="24"/>
                <w:color w:val="000000"/>
              </w:rPr>
              <w:t>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left="-270" w:firstLine="480"/>
              <w:jc w:val="both"/>
            </w:pPr>
            <w:r>
              <w:rPr>
                <w:rFonts w:ascii="仿宋_GB2312" w:hAnsi="仿宋_GB2312" w:cs="仿宋_GB2312" w:eastAsia="仿宋_GB2312"/>
                <w:sz w:val="24"/>
                <w:color w:val="000000"/>
              </w:rPr>
              <w:t>二、</w:t>
            </w:r>
            <w:r>
              <w:rPr>
                <w:rFonts w:ascii="仿宋_GB2312" w:hAnsi="仿宋_GB2312" w:cs="仿宋_GB2312" w:eastAsia="仿宋_GB2312"/>
                <w:sz w:val="24"/>
                <w:color w:val="000000"/>
              </w:rPr>
              <w:t>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r>
              <w:rPr>
                <w:rFonts w:ascii="仿宋_GB2312" w:hAnsi="仿宋_GB2312" w:cs="仿宋_GB2312" w:eastAsia="仿宋_GB2312"/>
                <w:sz w:val="24"/>
                <w:color w:val="000000"/>
              </w:rPr>
              <w:t>三、如使用供应商所不拥有的知识产权，则在响应报价中必须包括合法使用该知识产权的相关费用。</w:t>
            </w:r>
          </w:p>
        </w:tc>
      </w:tr>
      <w:tr>
        <w:tc>
          <w:tcPr>
            <w:tcW w:type="dxa" w:w="415"/>
          </w:tcPr>
          <w:p>
            <w:pPr>
              <w:pStyle w:val="null3"/>
              <w:jc w:val="center"/>
            </w:pPr>
            <w:r>
              <w:rPr>
                <w:rFonts w:ascii="仿宋_GB2312" w:hAnsi="仿宋_GB2312" w:cs="仿宋_GB2312" w:eastAsia="仿宋_GB2312"/>
              </w:rPr>
              <w:t>2</w:t>
            </w:r>
          </w:p>
        </w:tc>
        <w:tc>
          <w:tcPr>
            <w:tcW w:type="dxa" w:w="581"/>
          </w:tcPr>
          <w:p/>
        </w:tc>
        <w:tc>
          <w:tcPr>
            <w:tcW w:type="dxa" w:w="1495"/>
          </w:tcPr>
          <w:p>
            <w:pPr>
              <w:pStyle w:val="null3"/>
              <w:jc w:val="left"/>
            </w:pPr>
            <w:r>
              <w:rPr>
                <w:rFonts w:ascii="仿宋_GB2312" w:hAnsi="仿宋_GB2312" w:cs="仿宋_GB2312" w:eastAsia="仿宋_GB2312"/>
              </w:rPr>
              <w:t>售后服务要求</w:t>
            </w:r>
          </w:p>
        </w:tc>
        <w:tc>
          <w:tcPr>
            <w:tcW w:type="dxa" w:w="5814"/>
          </w:tcPr>
          <w:p>
            <w:pPr>
              <w:pStyle w:val="null3"/>
              <w:jc w:val="both"/>
            </w:pPr>
            <w:r>
              <w:rPr>
                <w:rFonts w:ascii="仿宋_GB2312" w:hAnsi="仿宋_GB2312" w:cs="仿宋_GB2312" w:eastAsia="仿宋_GB2312"/>
                <w:sz w:val="24"/>
                <w:color w:val="000000"/>
              </w:rPr>
              <w:t>提供</w:t>
            </w:r>
            <w:r>
              <w:rPr>
                <w:rFonts w:ascii="仿宋_GB2312" w:hAnsi="仿宋_GB2312" w:cs="仿宋_GB2312" w:eastAsia="仿宋_GB2312"/>
                <w:sz w:val="24"/>
                <w:color w:val="000000"/>
              </w:rPr>
              <w:t>7X24小时服务（根据实际问题情况进行电话或到现场服务），在接到故障报修后，做到30分钟内电话响应，4小时内到达现场，由供应商技术人员进行维修服务；故障恢复时间4—8小时以内。</w:t>
            </w:r>
          </w:p>
        </w:tc>
      </w:tr>
      <w:tr>
        <w:tc>
          <w:tcPr>
            <w:tcW w:type="dxa" w:w="415"/>
          </w:tcPr>
          <w:p>
            <w:pPr>
              <w:pStyle w:val="null3"/>
              <w:jc w:val="center"/>
            </w:pPr>
            <w:r>
              <w:rPr>
                <w:rFonts w:ascii="仿宋_GB2312" w:hAnsi="仿宋_GB2312" w:cs="仿宋_GB2312" w:eastAsia="仿宋_GB2312"/>
              </w:rPr>
              <w:t>3</w:t>
            </w:r>
          </w:p>
        </w:tc>
        <w:tc>
          <w:tcPr>
            <w:tcW w:type="dxa" w:w="581"/>
          </w:tcPr>
          <w:p/>
        </w:tc>
        <w:tc>
          <w:tcPr>
            <w:tcW w:type="dxa" w:w="1495"/>
          </w:tcPr>
          <w:p>
            <w:pPr>
              <w:pStyle w:val="null3"/>
              <w:jc w:val="left"/>
            </w:pPr>
            <w:r>
              <w:rPr>
                <w:rFonts w:ascii="仿宋_GB2312" w:hAnsi="仿宋_GB2312" w:cs="仿宋_GB2312" w:eastAsia="仿宋_GB2312"/>
              </w:rPr>
              <w:t>其他条款</w:t>
            </w:r>
          </w:p>
        </w:tc>
        <w:tc>
          <w:tcPr>
            <w:tcW w:type="dxa" w:w="5814"/>
          </w:tcPr>
          <w:p>
            <w:pPr>
              <w:pStyle w:val="null3"/>
              <w:ind w:firstLine="480"/>
              <w:jc w:val="both"/>
            </w:pPr>
            <w:r>
              <w:rPr>
                <w:rFonts w:ascii="仿宋_GB2312" w:hAnsi="仿宋_GB2312" w:cs="仿宋_GB2312" w:eastAsia="仿宋_GB2312"/>
                <w:sz w:val="24"/>
                <w:color w:val="000000"/>
              </w:rPr>
              <w:t>★1. 运输、安装安全责任: 供应商必须严格按国家安全生产的法律法规进行安全文明安装，并为相关的工作人员购买保险。在运输、安装调试过程中(即该项目验收合格前)若发生任何安全事故，均由供应商负责，因事故所产生的一切赔付和善后均由供应商负责，采购人不承担任何经济和法律责任。</w:t>
            </w:r>
          </w:p>
          <w:p>
            <w:pPr>
              <w:pStyle w:val="null3"/>
              <w:ind w:firstLine="480"/>
              <w:jc w:val="both"/>
            </w:pPr>
            <w:r>
              <w:rPr>
                <w:rFonts w:ascii="仿宋_GB2312" w:hAnsi="仿宋_GB2312" w:cs="仿宋_GB2312" w:eastAsia="仿宋_GB2312"/>
                <w:sz w:val="24"/>
                <w:color w:val="000000"/>
              </w:rPr>
              <w:t>★ 2.供应商所交设备不符合规定或质量不合格的，由供应商负责在合同约定的交货时间内包换，并承担换货而支付的一切费用。供应商不能按期调换的，按不能交货处理。</w:t>
            </w:r>
          </w:p>
          <w:p>
            <w:pPr>
              <w:pStyle w:val="null3"/>
              <w:ind w:firstLine="480"/>
              <w:jc w:val="both"/>
            </w:pPr>
            <w:r>
              <w:rPr>
                <w:rFonts w:ascii="仿宋_GB2312" w:hAnsi="仿宋_GB2312" w:cs="仿宋_GB2312" w:eastAsia="仿宋_GB2312"/>
                <w:sz w:val="24"/>
                <w:color w:val="000000"/>
              </w:rPr>
              <w:t>★3.供应商履约提供的所有产品国家有强制标准或强制规范的，必须提供符合或高于国家强制标准或强制规范的合格产品，否则按无效响应处理（提供承诺函，格式自拟）。</w:t>
            </w:r>
          </w:p>
          <w:p>
            <w:pPr>
              <w:pStyle w:val="null3"/>
              <w:ind w:firstLine="480"/>
              <w:jc w:val="both"/>
            </w:pPr>
            <w:r>
              <w:rPr>
                <w:rFonts w:ascii="仿宋_GB2312" w:hAnsi="仿宋_GB2312" w:cs="仿宋_GB2312" w:eastAsia="仿宋_GB2312"/>
                <w:sz w:val="24"/>
                <w:color w:val="000000"/>
              </w:rPr>
              <w:t>4.供应商须按要求完整填写报价表中的相关内容（如货物产地、品牌、规格、生产厂家，确无品牌、规格的除外），且所报货物产地、品牌、规格、生产厂家等必须与技术参数与性能指标响应表中设备的货物产地、品牌、规格、生产厂家一致，（确无品牌、规格的除外）备注：1、供应商所报设备单价（标的金额）不得超过采购清单列出的单价（标的金额）限价，否则报价无效；所报总价不得超过本项目最高限价，否则报价无效。</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交货时间</w:t>
            </w:r>
          </w:p>
        </w:tc>
        <w:tc>
          <w:tcPr>
            <w:tcW w:type="dxa" w:w="5814"/>
          </w:tcPr>
          <w:p>
            <w:pPr>
              <w:pStyle w:val="null3"/>
              <w:jc w:val="left"/>
            </w:pPr>
            <w:r>
              <w:rPr>
                <w:rFonts w:ascii="仿宋_GB2312" w:hAnsi="仿宋_GB2312" w:cs="仿宋_GB2312" w:eastAsia="仿宋_GB2312"/>
              </w:rPr>
              <w:t>自合同签订之日起15日</w:t>
            </w:r>
          </w:p>
        </w:tc>
      </w:tr>
      <w:tr>
        <w:tc>
          <w:tcPr>
            <w:tcW w:type="dxa" w:w="415"/>
          </w:tcPr>
          <w:p>
            <w:pPr>
              <w:pStyle w:val="null3"/>
              <w:jc w:val="center"/>
            </w:pPr>
            <w:r>
              <w:rPr>
                <w:rFonts w:ascii="仿宋_GB2312" w:hAnsi="仿宋_GB2312" w:cs="仿宋_GB2312" w:eastAsia="仿宋_GB2312"/>
              </w:rPr>
              <w:t>2</w:t>
            </w:r>
          </w:p>
        </w:tc>
        <w:tc>
          <w:tcPr>
            <w:tcW w:type="dxa" w:w="581"/>
          </w:tcPr>
          <w:p/>
        </w:tc>
        <w:tc>
          <w:tcPr>
            <w:tcW w:type="dxa" w:w="1495"/>
          </w:tcPr>
          <w:p>
            <w:pPr>
              <w:pStyle w:val="null3"/>
              <w:jc w:val="left"/>
            </w:pPr>
            <w:r>
              <w:rPr>
                <w:rFonts w:ascii="仿宋_GB2312" w:hAnsi="仿宋_GB2312" w:cs="仿宋_GB2312" w:eastAsia="仿宋_GB2312"/>
              </w:rPr>
              <w:t>交货地点</w:t>
            </w:r>
          </w:p>
        </w:tc>
        <w:tc>
          <w:tcPr>
            <w:tcW w:type="dxa" w:w="5814"/>
          </w:tcPr>
          <w:p>
            <w:pPr>
              <w:pStyle w:val="null3"/>
              <w:jc w:val="left"/>
            </w:pPr>
            <w:r>
              <w:rPr>
                <w:rFonts w:ascii="仿宋_GB2312" w:hAnsi="仿宋_GB2312" w:cs="仿宋_GB2312" w:eastAsia="仿宋_GB2312"/>
              </w:rPr>
              <w:t>全民健身中心内。</w:t>
            </w:r>
          </w:p>
        </w:tc>
      </w:tr>
      <w:tr>
        <w:tc>
          <w:tcPr>
            <w:tcW w:type="dxa" w:w="415"/>
          </w:tcPr>
          <w:p>
            <w:pPr>
              <w:pStyle w:val="null3"/>
              <w:jc w:val="center"/>
            </w:pPr>
            <w:r>
              <w:rPr>
                <w:rFonts w:ascii="仿宋_GB2312" w:hAnsi="仿宋_GB2312" w:cs="仿宋_GB2312" w:eastAsia="仿宋_GB2312"/>
              </w:rPr>
              <w:t>3</w:t>
            </w:r>
          </w:p>
        </w:tc>
        <w:tc>
          <w:tcPr>
            <w:tcW w:type="dxa" w:w="581"/>
          </w:tcP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4</w:t>
            </w:r>
          </w:p>
        </w:tc>
        <w:tc>
          <w:tcPr>
            <w:tcW w:type="dxa" w:w="581"/>
          </w:tcP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1、1、 预付款：合同签订并生效，采购人收到成交供应商开具的发票后 ，达到付款条件起7日内，据实情况说明为支付合同总金额的 40.00 % 。</w:t>
            </w:r>
          </w:p>
          <w:p>
            <w:pPr>
              <w:pStyle w:val="null3"/>
              <w:jc w:val="left"/>
            </w:pPr>
            <w:r>
              <w:rPr>
                <w:rFonts w:ascii="仿宋_GB2312" w:hAnsi="仿宋_GB2312" w:cs="仿宋_GB2312" w:eastAsia="仿宋_GB2312"/>
              </w:rPr>
              <w:t>2、尾款：安装调试完成，经验收合格，且采购人收到成交供应商开具的发票后，达到付款条件起7日内，据实情况说明为支付合同总金额的 60.00 %</w:t>
            </w:r>
          </w:p>
        </w:tc>
      </w:tr>
      <w:tr>
        <w:tc>
          <w:tcPr>
            <w:tcW w:type="dxa" w:w="415"/>
          </w:tcPr>
          <w:p>
            <w:pPr>
              <w:pStyle w:val="null3"/>
              <w:jc w:val="center"/>
            </w:pPr>
            <w:r>
              <w:rPr>
                <w:rFonts w:ascii="仿宋_GB2312" w:hAnsi="仿宋_GB2312" w:cs="仿宋_GB2312" w:eastAsia="仿宋_GB2312"/>
              </w:rPr>
              <w:t>5</w:t>
            </w:r>
          </w:p>
        </w:tc>
        <w:tc>
          <w:tcPr>
            <w:tcW w:type="dxa" w:w="581"/>
          </w:tcP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1、采购人与履约方严格按照《财政部关于进一步加强政府采购需求和履约验收管理的指导意见》(财库〔2016〕205 号)、政府采购需求管理办法(财库〔2021〕22号)的要求，按国家(行业)标准 、采购文件、成交供应商的响应文件及承诺函进行验收。双方如对质量要求和技术指标的约定标准有相互抵触或异议的事项，由采购单位在采购与响应文件中按质量要求和技术指标比较优胜的原则确定该项的约定标准进行验收。</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质量保修范围和保修期</w:t>
            </w:r>
          </w:p>
        </w:tc>
        <w:tc>
          <w:tcPr>
            <w:tcW w:type="dxa" w:w="5814"/>
          </w:tcPr>
          <w:p>
            <w:pPr>
              <w:pStyle w:val="null3"/>
              <w:jc w:val="left"/>
            </w:pPr>
            <w:r>
              <w:rPr>
                <w:rFonts w:ascii="仿宋_GB2312" w:hAnsi="仿宋_GB2312" w:cs="仿宋_GB2312" w:eastAsia="仿宋_GB2312"/>
              </w:rPr>
              <w:t>1.质保时间:免费整机一年质保。(质保期为验收合格之日起开始计算，有相关规定或产品生产商承诺质保期长于一年的执行相关规定或产品生产商承诺)。 2.质保期内，提供7X24小时服务（根据实际问题情况进行电话或到现场服务），在接到故障报修后，做到30分钟内电话响应，4小时内到达现场，由供应商技术人员进行维修服务；故障恢复时间4—8小时以内。 3.如经3次维修仍不能达到合同约定的质量标准，采购人有权退货并追究供应商的违约责任。（供应商在响应文件中提供承诺函，格式自拟）</w:t>
            </w:r>
          </w:p>
        </w:tc>
      </w:tr>
      <w:tr>
        <w:tc>
          <w:tcPr>
            <w:tcW w:type="dxa" w:w="415"/>
          </w:tcPr>
          <w:p>
            <w:pPr>
              <w:pStyle w:val="null3"/>
              <w:jc w:val="center"/>
            </w:pPr>
            <w:r>
              <w:rPr>
                <w:rFonts w:ascii="仿宋_GB2312" w:hAnsi="仿宋_GB2312" w:cs="仿宋_GB2312" w:eastAsia="仿宋_GB2312"/>
              </w:rPr>
              <w:t>7</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★一、违约责任： 1.供应商必须遵守采购合同并执行合同中的各项规定，保证采购合同的正常履行。 2.如因供应商工作人员在履行职责过程中的疏忽、失职、过错等故意或者过失原因给采购人造成损失或侵害，包括但不限于采购人本身的财产损失、由此而导致的采购人对任何第三方的法律责任等，供应商对此均应承担全部的赔偿责任。 3.供应商应当遵守采购人的相关项目需求、技术要求及实质性条款，实施完成采购合同应当完全满足相关项目需求、技术要求及实质性条款，若供应商瑕疵履行采购合同，采购人有权向供应商要求赔偿合同总价款20%的违约金，若造成相关损失的，供应商自行承担所有赔偿责任。 4. 有下列情形的，当事人可以解除合同： 因不可抗力致使不能实现合同目的(由于非供应商或采购人原因，致使合同实质性条款无法实现的)。 ★ 二、解决争议的方法： 1.因质量问题发生争议，由采购人或其指定的第三方机构进行质量鉴定。符合标准的，鉴定费由采购人承担；不符合质量标准的，鉴定费由供应商承担。 2.合同履行期间，若双方发生争议，可协商或由有关部门调解解决，协商或调解不成的，向采购人所在地人民法院起诉。</w:t>
            </w:r>
          </w:p>
        </w:tc>
      </w:tr>
      <w:tr>
        <w:tc>
          <w:tcPr>
            <w:tcW w:type="dxa" w:w="415"/>
          </w:tcPr>
          <w:p>
            <w:pPr>
              <w:pStyle w:val="null3"/>
              <w:jc w:val="center"/>
            </w:pPr>
            <w:r>
              <w:rPr>
                <w:rFonts w:ascii="仿宋_GB2312" w:hAnsi="仿宋_GB2312" w:cs="仿宋_GB2312" w:eastAsia="仿宋_GB2312"/>
              </w:rPr>
              <w:t>8</w:t>
            </w:r>
          </w:p>
        </w:tc>
        <w:tc>
          <w:tcPr>
            <w:tcW w:type="dxa" w:w="581"/>
          </w:tcPr>
          <w:p/>
        </w:tc>
        <w:tc>
          <w:tcPr>
            <w:tcW w:type="dxa" w:w="1495"/>
          </w:tcPr>
          <w:p>
            <w:pPr>
              <w:pStyle w:val="null3"/>
              <w:jc w:val="left"/>
            </w:pPr>
            <w:r>
              <w:rPr>
                <w:rFonts w:ascii="仿宋_GB2312" w:hAnsi="仿宋_GB2312" w:cs="仿宋_GB2312" w:eastAsia="仿宋_GB2312"/>
              </w:rPr>
              <w:t>包装方式及运输</w:t>
            </w:r>
          </w:p>
        </w:tc>
        <w:tc>
          <w:tcPr>
            <w:tcW w:type="dxa" w:w="5814"/>
          </w:tcPr>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评审办法</w:t>
      </w:r>
    </w:p>
    <w:p>
      <w:pPr>
        <w:pStyle w:val="null3"/>
        <w:jc w:val="left"/>
        <w:outlineLvl w:val="2"/>
      </w:pPr>
      <w:r>
        <w:rPr>
          <w:rFonts w:ascii="仿宋_GB2312" w:hAnsi="仿宋_GB2312" w:cs="仿宋_GB2312" w:eastAsia="仿宋_GB2312"/>
          <w:sz w:val="28"/>
          <w:b/>
        </w:rPr>
        <w:t>4.1.总则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非招标采购方式管理办法》《四川省政府采购评审工作规程（修订）》等法律制度规定，结合采购项目特点制定本次询价评审办法。</w:t>
      </w:r>
    </w:p>
    <w:p>
      <w:pPr>
        <w:pStyle w:val="null3"/>
        <w:ind w:firstLine="480"/>
        <w:jc w:val="left"/>
      </w:pPr>
      <w:r>
        <w:rPr>
          <w:rFonts w:ascii="仿宋_GB2312" w:hAnsi="仿宋_GB2312" w:cs="仿宋_GB2312" w:eastAsia="仿宋_GB2312"/>
        </w:rPr>
        <w:t>二、评审工作由代理机构组织，具体评审事务由依法组建的询价小组负责，询价小组由采购人代表和评审专家组成。</w:t>
      </w:r>
    </w:p>
    <w:p>
      <w:pPr>
        <w:pStyle w:val="null3"/>
        <w:ind w:firstLine="480"/>
        <w:jc w:val="left"/>
      </w:pPr>
      <w:r>
        <w:rPr>
          <w:rFonts w:ascii="仿宋_GB2312" w:hAnsi="仿宋_GB2312" w:cs="仿宋_GB2312" w:eastAsia="仿宋_GB2312"/>
        </w:rPr>
        <w:t>三、评审工作应遵循客观、公正、审慎的原则，根据询价通知书规定的评审程序、评审方法和评审标准进行独立评审。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四、本项目采取电子评审，通过交易系统完成评审工作。询价小组成员、采购人、代理机构和供应商应当按照本询价通知书规定和交易系统操作要求开展或者参加评审活动。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询价小组成员在签署询价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4.2.询价小组</w:t>
      </w:r>
    </w:p>
    <w:p>
      <w:pPr>
        <w:pStyle w:val="null3"/>
        <w:ind w:firstLine="480"/>
        <w:jc w:val="left"/>
      </w:pPr>
      <w:r>
        <w:rPr>
          <w:rFonts w:ascii="仿宋_GB2312" w:hAnsi="仿宋_GB2312" w:cs="仿宋_GB2312" w:eastAsia="仿宋_GB2312"/>
        </w:rPr>
        <w:t>一、本项目询价小组成员人数应为3人以上单数，其中评审专家不得少于成员总数的三分之二。采购预算金额达到公开招标数额标准的货物，询价小组成员人数应为5人以上单数。评审专家由代理机构采取随机方式在采购平台的评审专家库系统（以下简称“专家库系统”）抽取。</w:t>
      </w:r>
    </w:p>
    <w:p>
      <w:pPr>
        <w:pStyle w:val="null3"/>
        <w:ind w:firstLine="480"/>
        <w:jc w:val="left"/>
      </w:pPr>
      <w:r>
        <w:rPr>
          <w:rFonts w:ascii="仿宋_GB2312" w:hAnsi="仿宋_GB2312" w:cs="仿宋_GB2312" w:eastAsia="仿宋_GB2312"/>
        </w:rPr>
        <w:t>二、询价小组成员应当满足并适应电子化采购评审的工作需要，登录交易系统进入项目评审功能模块确认身份、签到、推荐询价小组组长。采购人代表可以使用采购人代表专用签章确认评审意见。</w:t>
      </w:r>
    </w:p>
    <w:p>
      <w:pPr>
        <w:pStyle w:val="null3"/>
        <w:ind w:firstLine="480"/>
        <w:jc w:val="left"/>
      </w:pPr>
      <w:r>
        <w:rPr>
          <w:rFonts w:ascii="仿宋_GB2312" w:hAnsi="仿宋_GB2312" w:cs="仿宋_GB2312" w:eastAsia="仿宋_GB2312"/>
        </w:rPr>
        <w:t>三、询价小组成员获取解密后的响应文件，开展评审活动。出现评审专家请假、回避等情况时，采购人或者代理机构按规定申请补充抽取评审专家。无法及时补充抽取的，采购人或者代理机构应当封存供应商响应文件，按规定重新组建询价小组，解封响应文件后，开展评审活动。</w:t>
      </w:r>
    </w:p>
    <w:p>
      <w:pPr>
        <w:pStyle w:val="null3"/>
        <w:ind w:firstLine="480"/>
        <w:jc w:val="left"/>
      </w:pPr>
      <w:r>
        <w:rPr>
          <w:rFonts w:ascii="仿宋_GB2312" w:hAnsi="仿宋_GB2312" w:cs="仿宋_GB2312" w:eastAsia="仿宋_GB2312"/>
        </w:rPr>
        <w:t>四、询价小组应当履行下列职责：</w:t>
      </w:r>
    </w:p>
    <w:p>
      <w:pPr>
        <w:pStyle w:val="null3"/>
        <w:ind w:firstLine="480"/>
        <w:jc w:val="left"/>
      </w:pPr>
      <w:r>
        <w:rPr>
          <w:rFonts w:ascii="仿宋_GB2312" w:hAnsi="仿宋_GB2312" w:cs="仿宋_GB2312" w:eastAsia="仿宋_GB2312"/>
        </w:rPr>
        <w:t>（一）熟悉和理解询价通知书；</w:t>
      </w:r>
    </w:p>
    <w:p>
      <w:pPr>
        <w:pStyle w:val="null3"/>
        <w:ind w:firstLine="480"/>
        <w:jc w:val="left"/>
      </w:pPr>
      <w:r>
        <w:rPr>
          <w:rFonts w:ascii="仿宋_GB2312" w:hAnsi="仿宋_GB2312" w:cs="仿宋_GB2312" w:eastAsia="仿宋_GB2312"/>
        </w:rPr>
        <w:t>（二）审查、评价供应商响应文件等是否满足询价通知书要求；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（四）根据需要要求采购人、代理机构对询价通知书作出解释；根据需要要求供应商对响应文件有关事项作出澄清、说明或者更正；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（六）起草资格审查报告、询价报告并进行签署；</w:t>
      </w:r>
    </w:p>
    <w:p>
      <w:pPr>
        <w:pStyle w:val="null3"/>
        <w:ind w:firstLine="480"/>
        <w:jc w:val="left"/>
      </w:pPr>
      <w:r>
        <w:rPr>
          <w:rFonts w:ascii="仿宋_GB2312" w:hAnsi="仿宋_GB2312" w:cs="仿宋_GB2312" w:eastAsia="仿宋_GB2312"/>
        </w:rPr>
        <w:t>（七）向采购人、代理机构或者有关部门报告协商中发现的违法行为；</w:t>
      </w:r>
    </w:p>
    <w:p>
      <w:pPr>
        <w:pStyle w:val="null3"/>
        <w:ind w:firstLine="480"/>
        <w:jc w:val="left"/>
      </w:pPr>
      <w:r>
        <w:rPr>
          <w:rFonts w:ascii="仿宋_GB2312" w:hAnsi="仿宋_GB2312" w:cs="仿宋_GB2312" w:eastAsia="仿宋_GB2312"/>
        </w:rPr>
        <w:t>（八）按规定告知供应商，未实质性响应询价通知书的响应文件按无效响应处理；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4.3.评审程序</w:t>
      </w:r>
    </w:p>
    <w:p>
      <w:pPr>
        <w:pStyle w:val="null3"/>
        <w:jc w:val="left"/>
        <w:outlineLvl w:val="3"/>
      </w:pPr>
      <w:r>
        <w:rPr>
          <w:rFonts w:ascii="仿宋_GB2312" w:hAnsi="仿宋_GB2312" w:cs="仿宋_GB2312" w:eastAsia="仿宋_GB2312"/>
          <w:sz w:val="24"/>
          <w:b/>
        </w:rPr>
        <w:t>4.3.1.熟悉和理解询价通知书</w:t>
      </w:r>
    </w:p>
    <w:p>
      <w:pPr>
        <w:pStyle w:val="null3"/>
        <w:ind w:firstLine="480"/>
        <w:jc w:val="left"/>
      </w:pPr>
      <w:r>
        <w:rPr>
          <w:rFonts w:ascii="仿宋_GB2312" w:hAnsi="仿宋_GB2312" w:cs="仿宋_GB2312" w:eastAsia="仿宋_GB2312"/>
        </w:rPr>
        <w:t>询价小组正式评审前，应当对询价通知书进行熟悉和理解，内容主要包括询价通知书中供应商资格条件要求、采购项目技术、服务和商务要求、评审方法和标准以及政府采购合同的内容等。</w:t>
      </w:r>
    </w:p>
    <w:p>
      <w:pPr>
        <w:pStyle w:val="null3"/>
        <w:jc w:val="left"/>
        <w:outlineLvl w:val="3"/>
      </w:pPr>
      <w:r>
        <w:rPr>
          <w:rFonts w:ascii="仿宋_GB2312" w:hAnsi="仿宋_GB2312" w:cs="仿宋_GB2312" w:eastAsia="仿宋_GB2312"/>
          <w:sz w:val="24"/>
          <w:b/>
        </w:rPr>
        <w:t>4.3.2.停止评审的情形</w:t>
      </w:r>
    </w:p>
    <w:p>
      <w:pPr>
        <w:pStyle w:val="null3"/>
        <w:ind w:firstLine="480"/>
        <w:jc w:val="left"/>
      </w:pPr>
      <w:r>
        <w:rPr>
          <w:rFonts w:ascii="仿宋_GB2312" w:hAnsi="仿宋_GB2312" w:cs="仿宋_GB2312" w:eastAsia="仿宋_GB2312"/>
        </w:rPr>
        <w:t>询价小组熟悉和理解询价通知书以及评审过程中，发现本询价通知书有下列情形之一的，询价小组应当停止评审：</w:t>
      </w:r>
    </w:p>
    <w:p>
      <w:pPr>
        <w:pStyle w:val="null3"/>
        <w:ind w:firstLine="480"/>
        <w:jc w:val="left"/>
      </w:pPr>
      <w:r>
        <w:rPr>
          <w:rFonts w:ascii="仿宋_GB2312" w:hAnsi="仿宋_GB2312" w:cs="仿宋_GB2312" w:eastAsia="仿宋_GB2312"/>
        </w:rPr>
        <w:t>一、询价通知书的规定存在歧义、重大缺陷，导致评审工作无法进行的；</w:t>
      </w:r>
    </w:p>
    <w:p>
      <w:pPr>
        <w:pStyle w:val="null3"/>
        <w:ind w:firstLine="480"/>
        <w:jc w:val="left"/>
      </w:pPr>
      <w:r>
        <w:rPr>
          <w:rFonts w:ascii="仿宋_GB2312" w:hAnsi="仿宋_GB2312" w:cs="仿宋_GB2312" w:eastAsia="仿宋_GB2312"/>
        </w:rPr>
        <w:t>二、询价通知书明显以不合理条件对供应商实行差别待遇或者歧视待遇的；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三、采购项目属于国家规定的优先、强制采购范围，但是询价通知书未依法体现优先、强制采购相关规定的；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四、采购项目属于政府采购促进中小企业发展的范围，但是询价通知书未依法体现促进中小企业发展相关规定的；</w:t>
      </w:r>
    </w:p>
    <w:p>
      <w:pPr>
        <w:pStyle w:val="null3"/>
        <w:ind w:firstLine="480"/>
        <w:jc w:val="left"/>
      </w:pPr>
      <w:r>
        <w:rPr>
          <w:rFonts w:ascii="仿宋_GB2312" w:hAnsi="仿宋_GB2312" w:cs="仿宋_GB2312" w:eastAsia="仿宋_GB2312"/>
        </w:rPr>
        <w:t>五、询价通知书载明的成交原则不合法的；</w:t>
      </w:r>
    </w:p>
    <w:p>
      <w:pPr>
        <w:pStyle w:val="null3"/>
        <w:ind w:firstLine="480"/>
        <w:jc w:val="left"/>
      </w:pPr>
      <w:r>
        <w:rPr>
          <w:rFonts w:ascii="仿宋_GB2312" w:hAnsi="仿宋_GB2312" w:cs="仿宋_GB2312" w:eastAsia="仿宋_GB2312"/>
        </w:rPr>
        <w:t>六、询价通知书有违反国家其他有关强制性规定的情形。</w:t>
      </w:r>
    </w:p>
    <w:p>
      <w:pPr>
        <w:pStyle w:val="null3"/>
        <w:ind w:firstLine="480"/>
        <w:jc w:val="left"/>
      </w:pPr>
      <w:r>
        <w:rPr>
          <w:rFonts w:ascii="仿宋_GB2312" w:hAnsi="仿宋_GB2312" w:cs="仿宋_GB2312" w:eastAsia="仿宋_GB2312"/>
        </w:rPr>
        <w:t>出现上述应当停止评审情形的，询价小组应当通过交易系统向采购组织单位提交相关说明材料，说明停止评审的情形和具体理由。除上述情形外，询价小组不得以任何方式和理由停止评审。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询价小组不应当停止评审的，可以通过交易系统书面报告采购项目同级财政部门依法处理，并提供相关证明材料。</w:t>
      </w:r>
    </w:p>
    <w:p>
      <w:pPr>
        <w:pStyle w:val="null3"/>
        <w:jc w:val="left"/>
        <w:outlineLvl w:val="3"/>
      </w:pPr>
      <w:r>
        <w:rPr>
          <w:rFonts w:ascii="仿宋_GB2312" w:hAnsi="仿宋_GB2312" w:cs="仿宋_GB2312" w:eastAsia="仿宋_GB2312"/>
          <w:sz w:val="24"/>
          <w:b/>
        </w:rPr>
        <w:t>4.3.3.资格审查</w:t>
      </w:r>
    </w:p>
    <w:p>
      <w:pPr>
        <w:pStyle w:val="null3"/>
        <w:ind w:firstLine="480"/>
        <w:jc w:val="left"/>
      </w:pPr>
      <w:r>
        <w:rPr>
          <w:rFonts w:ascii="仿宋_GB2312" w:hAnsi="仿宋_GB2312" w:cs="仿宋_GB2312" w:eastAsia="仿宋_GB2312"/>
        </w:rPr>
        <w:t>网上开启完成后，由询价小组依据法律法规和询价通知书的规定，对成功解密的响应文件中供应商资格证明等进行审查并出具资格审查报告。资格审查标准及要求如下：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4.3.3.1.一般资格审查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（1）若为企业法人：提供“统一社会信用代码营业执照”扫描件，未换证的提供“营业执照、税务登记证、组织机构代码证或三证合一的营业执照扫描件； （2）若为事业法人：提供“统一社会信用代码法人登记证书”扫描件；未换证的提供“事业法人登记证书、组织机构代码证”扫描件。 （3）若为其他组织：提供“对应主管部门颁发的准许执业证明文件或营业执照”扫描件。 （4）若为自然人：提供其身份证扫描件。 （5）法人单位和其他组织单位还应提供法定代表人身份证明文件（或组织负责人身份证明文件）和身份证扫描件。 注：供应商需在项目电子化交易系统中按要求填写《投标（响应）函》完成承诺并在响应文件封面进行电子签章。</w:t>
            </w:r>
          </w:p>
        </w:tc>
        <w:tc>
          <w:tcPr>
            <w:tcW w:type="dxa" w:w="1910"/>
          </w:tcPr>
          <w:p>
            <w:pPr>
              <w:pStyle w:val="null3"/>
              <w:jc w:val="left"/>
            </w:pPr>
            <w:r>
              <w:rPr>
                <w:rFonts w:ascii="仿宋_GB2312" w:hAnsi="仿宋_GB2312" w:cs="仿宋_GB2312" w:eastAsia="仿宋_GB2312"/>
              </w:rPr>
              <w:t>响应文件封面,投标（响应）函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提供财务状况报告（以下四者任选其一均可）： a.可提供近两年任一年度经审计的财务报告（包含审计报告和审计报告中所涉及的财务报表和报表附注）扫描件； b.可提供近两年任一年度供应商完整的全套财务报表（应当包括资产负债表、利润表、现金流量表）扫描件； c.可提供截至响应截止日一年内银行出具的资信证明扫描件； d.供应商注册时间截至响应截止日不足一年的，也可提供在工商管理部门备案的公司章程扫描件。 （注：不得要求供应商提供证明财务报告中签字签章人或者第三方机构的身份证明、财务报告中数据信息真实性有效性的证明材料） 注：供应商可以提供上述材料其中之一或《投标（响应）函》。</w:t>
            </w:r>
          </w:p>
        </w:tc>
        <w:tc>
          <w:tcPr>
            <w:tcW w:type="dxa" w:w="1910"/>
          </w:tcPr>
          <w:p>
            <w:pPr>
              <w:pStyle w:val="null3"/>
              <w:jc w:val="left"/>
            </w:pPr>
            <w:r>
              <w:rPr>
                <w:rFonts w:ascii="仿宋_GB2312" w:hAnsi="仿宋_GB2312" w:cs="仿宋_GB2312" w:eastAsia="仿宋_GB2312"/>
              </w:rPr>
              <w:t>供应商应提交的相关证明材料,具有健全财务会计制度的证明材料,投标（响应）函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4.3.3.2.落实政府采购政策资格审查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3"/>
      </w:pPr>
      <w:r>
        <w:rPr>
          <w:rFonts w:ascii="仿宋_GB2312" w:hAnsi="仿宋_GB2312" w:cs="仿宋_GB2312" w:eastAsia="仿宋_GB2312"/>
          <w:sz w:val="24"/>
          <w:b/>
        </w:rPr>
        <w:t>4.3.3.3.特定资格审查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无</w:t>
            </w:r>
          </w:p>
        </w:tc>
        <w:tc>
          <w:tcPr>
            <w:tcW w:type="dxa" w:w="3322"/>
          </w:tcPr>
          <w:p>
            <w:pPr>
              <w:pStyle w:val="null3"/>
              <w:jc w:val="left"/>
            </w:pPr>
            <w:r>
              <w:rPr>
                <w:rFonts w:ascii="仿宋_GB2312" w:hAnsi="仿宋_GB2312" w:cs="仿宋_GB2312" w:eastAsia="仿宋_GB2312"/>
              </w:rPr>
              <w:t>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4.3.4.符合性审查</w:t>
      </w:r>
    </w:p>
    <w:p>
      <w:pPr>
        <w:pStyle w:val="null3"/>
        <w:ind w:firstLine="480"/>
        <w:jc w:val="left"/>
      </w:pPr>
      <w:r>
        <w:rPr>
          <w:rFonts w:ascii="仿宋_GB2312" w:hAnsi="仿宋_GB2312" w:cs="仿宋_GB2312" w:eastAsia="仿宋_GB2312"/>
        </w:rPr>
        <w:t>询价小组依据本询价通知书的符合性审查要求，对符合资格要求供应商的响应文件有效性、完整性和响应程度进行审查。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在符合性审查过程中，如果出现询价小组成员意见不一致的情况，按照少数服从多数的原则确定，但不得违反政府采购基本原则和询价通知书规定。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强制节能产品的采购。</w:t>
            </w:r>
          </w:p>
        </w:tc>
        <w:tc>
          <w:tcPr>
            <w:tcW w:type="dxa" w:w="3322"/>
          </w:tcPr>
          <w:p>
            <w:pPr>
              <w:pStyle w:val="null3"/>
              <w:jc w:val="left"/>
            </w:pPr>
            <w:r>
              <w:rPr>
                <w:rFonts w:ascii="仿宋_GB2312" w:hAnsi="仿宋_GB2312" w:cs="仿宋_GB2312" w:eastAsia="仿宋_GB2312"/>
              </w:rPr>
              <w:t>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w:t>
            </w:r>
          </w:p>
        </w:tc>
        <w:tc>
          <w:tcPr>
            <w:tcW w:type="dxa" w:w="1910"/>
          </w:tcPr>
          <w:p>
            <w:pPr>
              <w:pStyle w:val="null3"/>
              <w:jc w:val="left"/>
            </w:pPr>
            <w:r>
              <w:rPr>
                <w:rFonts w:ascii="仿宋_GB2312" w:hAnsi="仿宋_GB2312" w:cs="仿宋_GB2312" w:eastAsia="仿宋_GB2312"/>
              </w:rPr>
              <w:t>供应商应提交的相关证明材料</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符合询价通知书的其他实质性要求。</w:t>
            </w:r>
          </w:p>
        </w:tc>
        <w:tc>
          <w:tcPr>
            <w:tcW w:type="dxa" w:w="3322"/>
          </w:tcPr>
          <w:p>
            <w:pPr>
              <w:pStyle w:val="null3"/>
              <w:jc w:val="left"/>
            </w:pPr>
            <w:r>
              <w:rPr>
                <w:rFonts w:ascii="仿宋_GB2312" w:hAnsi="仿宋_GB2312" w:cs="仿宋_GB2312" w:eastAsia="仿宋_GB2312"/>
              </w:rPr>
              <w:t>符合文件要求。</w:t>
            </w:r>
          </w:p>
        </w:tc>
        <w:tc>
          <w:tcPr>
            <w:tcW w:type="dxa" w:w="1910"/>
          </w:tcPr>
          <w:p>
            <w:pPr>
              <w:pStyle w:val="null3"/>
              <w:jc w:val="left"/>
            </w:pPr>
            <w:r>
              <w:rPr>
                <w:rFonts w:ascii="仿宋_GB2312" w:hAnsi="仿宋_GB2312" w:cs="仿宋_GB2312" w:eastAsia="仿宋_GB2312"/>
              </w:rPr>
              <w:t>产品技术参数响应表,供应商应提交的相关证明材料,服务应答表,投标（响应）函</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响应文件满足以上符合性审查要求的，则通过符合性审查；如有任意一项未满足符合性审查要求的，则按无效响应处理，并在询价报告中载明未通过符合性审查的具体原因。</w:t>
      </w:r>
    </w:p>
    <w:p>
      <w:pPr>
        <w:pStyle w:val="null3"/>
        <w:jc w:val="left"/>
        <w:outlineLvl w:val="3"/>
      </w:pPr>
      <w:r>
        <w:rPr>
          <w:rFonts w:ascii="仿宋_GB2312" w:hAnsi="仿宋_GB2312" w:cs="仿宋_GB2312" w:eastAsia="仿宋_GB2312"/>
          <w:sz w:val="24"/>
          <w:b/>
        </w:rPr>
        <w:t>4.3.5.解释、澄清、说明的有关问题</w:t>
      </w:r>
    </w:p>
    <w:p>
      <w:pPr>
        <w:pStyle w:val="null3"/>
        <w:ind w:firstLine="480"/>
        <w:jc w:val="left"/>
      </w:pPr>
      <w:r>
        <w:rPr>
          <w:rFonts w:ascii="仿宋_GB2312" w:hAnsi="仿宋_GB2312" w:cs="仿宋_GB2312" w:eastAsia="仿宋_GB2312"/>
        </w:rPr>
        <w:t>一、评审过程中，询价小组认为询价通知书有关事项表述不明确或需要说明的，可以要求采购人或者代理机构书面解释。采购人或者代理机构的解释不得改变询价通知书的原义或者影响公平、公正。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询价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三、响应文件报价出现前后不一致的，除询价通知书另有规定外，按照下列规定修正：</w:t>
      </w:r>
    </w:p>
    <w:p>
      <w:pPr>
        <w:pStyle w:val="null3"/>
        <w:ind w:firstLine="480"/>
        <w:jc w:val="left"/>
      </w:pPr>
      <w:r>
        <w:rPr>
          <w:rFonts w:ascii="仿宋_GB2312" w:hAnsi="仿宋_GB2312" w:cs="仿宋_GB2312" w:eastAsia="仿宋_GB2312"/>
        </w:rPr>
        <w:t>（一）响应文件中报价表内容与响应文件中相应内容不一致的，以报价表为准；</w:t>
      </w:r>
    </w:p>
    <w:p>
      <w:pPr>
        <w:pStyle w:val="null3"/>
        <w:ind w:firstLine="480"/>
        <w:jc w:val="left"/>
      </w:pPr>
      <w:r>
        <w:rPr>
          <w:rFonts w:ascii="仿宋_GB2312" w:hAnsi="仿宋_GB2312" w:cs="仿宋_GB2312" w:eastAsia="仿宋_GB2312"/>
        </w:rPr>
        <w:t>（二）大写金额和小写金额不一致的，以大写金额为准；</w:t>
      </w:r>
    </w:p>
    <w:p>
      <w:pPr>
        <w:pStyle w:val="null3"/>
        <w:ind w:firstLine="480"/>
        <w:jc w:val="left"/>
      </w:pPr>
      <w:r>
        <w:rPr>
          <w:rFonts w:ascii="仿宋_GB2312" w:hAnsi="仿宋_GB2312" w:cs="仿宋_GB2312" w:eastAsia="仿宋_GB2312"/>
        </w:rPr>
        <w:t>（三）单价金额小数点或者百分比有明显错位的，以报价表总价为准，并修改单价；</w:t>
      </w:r>
    </w:p>
    <w:p>
      <w:pPr>
        <w:pStyle w:val="null3"/>
        <w:ind w:firstLine="480"/>
        <w:jc w:val="left"/>
      </w:pPr>
      <w:r>
        <w:rPr>
          <w:rFonts w:ascii="仿宋_GB2312" w:hAnsi="仿宋_GB2312" w:cs="仿宋_GB2312" w:eastAsia="仿宋_GB2312"/>
        </w:rPr>
        <w:t>（四）总价金额与按单价汇总金额不一致的，以单价金额计算结果为准。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同时出现两种以上不一致的，按照前款规定的顺序修正。修正后的报价经供应商确认后产生约束力，供应商不确认的，作无效响应处理。</w:t>
      </w:r>
    </w:p>
    <w:p>
      <w:pPr>
        <w:pStyle w:val="null3"/>
        <w:ind w:firstLine="480"/>
        <w:jc w:val="left"/>
      </w:pPr>
      <w:r>
        <w:rPr>
          <w:rFonts w:ascii="仿宋_GB2312" w:hAnsi="仿宋_GB2312" w:cs="仿宋_GB2312" w:eastAsia="仿宋_GB2312"/>
        </w:rPr>
        <w:t>四、代理机构宣布评审结束之前，供应商应通过交易系统随时关注评审消息提示，及时响应询价小组发出的澄清、说明或者更正要求。供应商未能及时响应的，自行承担不利后果。</w:t>
      </w:r>
    </w:p>
    <w:p>
      <w:pPr>
        <w:pStyle w:val="null3"/>
        <w:ind w:firstLine="480"/>
        <w:jc w:val="left"/>
      </w:pPr>
      <w:r>
        <w:rPr>
          <w:rFonts w:ascii="仿宋_GB2312" w:hAnsi="仿宋_GB2312" w:cs="仿宋_GB2312" w:eastAsia="仿宋_GB2312"/>
        </w:rPr>
        <w:t>五、询价小组应当积极履行澄清、说明或者更正的职责，不得滥用权力。供应商的响应文件可以要求澄清、说明或者更正的，不得未经澄清、说明或者更正而直接作无效响应处理。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4.3.6.询价小组复核</w:t>
      </w:r>
    </w:p>
    <w:p>
      <w:pPr>
        <w:pStyle w:val="null3"/>
        <w:ind w:firstLine="480"/>
        <w:jc w:val="left"/>
      </w:pPr>
      <w:r>
        <w:rPr>
          <w:rFonts w:ascii="仿宋_GB2312" w:hAnsi="仿宋_GB2312" w:cs="仿宋_GB2312" w:eastAsia="仿宋_GB2312"/>
        </w:rPr>
        <w:t>评审结束后，询价小组应当进行复核，特别要对拟推荐为成交候选供应商的、报价最低的、响应文件被认定为无效的进行重点复核。</w:t>
      </w:r>
    </w:p>
    <w:p>
      <w:pPr>
        <w:pStyle w:val="null3"/>
        <w:jc w:val="left"/>
        <w:outlineLvl w:val="3"/>
      </w:pPr>
      <w:r>
        <w:rPr>
          <w:rFonts w:ascii="仿宋_GB2312" w:hAnsi="仿宋_GB2312" w:cs="仿宋_GB2312" w:eastAsia="仿宋_GB2312"/>
          <w:sz w:val="24"/>
          <w:b/>
        </w:rPr>
        <w:t>4.3.7.代理机构现场复核评审结果</w:t>
      </w:r>
    </w:p>
    <w:p>
      <w:pPr>
        <w:pStyle w:val="null3"/>
        <w:ind w:firstLine="480"/>
        <w:jc w:val="left"/>
      </w:pPr>
      <w:r>
        <w:rPr>
          <w:rFonts w:ascii="仿宋_GB2312" w:hAnsi="仿宋_GB2312" w:cs="仿宋_GB2312" w:eastAsia="仿宋_GB2312"/>
        </w:rPr>
        <w:t>一、询价小组拟出具询价报告前，代理机构应当组织2名以上的本单位工作人员，在采购现场监督人员的监督之下，依据有关的法律制度和询价通知书对评审结果进行复核，出具复核报告。存在资格审查认定错误的，代理机构应当根据情况书面建议询价小组现场修改评审结果或者重新评审，由询价小组自主决定是否采纳代理机构的书面建议，并承担独立评审责任。</w:t>
      </w:r>
    </w:p>
    <w:p>
      <w:pPr>
        <w:pStyle w:val="null3"/>
        <w:ind w:firstLine="480"/>
        <w:jc w:val="left"/>
      </w:pPr>
      <w:r>
        <w:rPr>
          <w:rFonts w:ascii="仿宋_GB2312" w:hAnsi="仿宋_GB2312" w:cs="仿宋_GB2312" w:eastAsia="仿宋_GB2312"/>
        </w:rPr>
        <w:t>二、询价小组采纳代理机构书面建议的，应当按照规定现场通过交易系统修改评审结果或者重新评审，并在询价报告中详细记载有关事宜；不采纳代理机构书面建议的，应当书面说明理由。代理机构书面建议未被询价小组采纳的，应当按照规定程序要求继续组织实施采购活动，不得擅自中止采购活动。代理机构认为询价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三、代理机构复核过程中，询价小组成员不得离开评审现场。</w:t>
      </w:r>
    </w:p>
    <w:p>
      <w:pPr>
        <w:pStyle w:val="null3"/>
        <w:ind w:firstLine="480"/>
        <w:jc w:val="left"/>
      </w:pPr>
      <w:r>
        <w:rPr>
          <w:rFonts w:ascii="仿宋_GB2312" w:hAnsi="仿宋_GB2312" w:cs="仿宋_GB2312" w:eastAsia="仿宋_GB2312"/>
        </w:rPr>
        <w:t>四、除资格审查认定错误和价格计算错误外，采购人或者代理机构不得以任何理由组织重新评审。代理机构发现询价小组未按照询价通知书规定的评定成交的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4.3.8.推荐成交候选供应商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按供应商响应报价从低到高顺序排列，响应文件满足询价通知书全部实质性要求且响应报价最低的供应商为排名第一的成交候选供应商。响应报价相同的，按供应商提供的经评审认定有效的优先采购产品认证证书数量由多到少顺序排列；响应报价且提供的经评审认定有效的优先采购产品认证证书数量相同的并列。供应商响应的产品同时具有节能产品认证证书、环境标志产品认证证书的，按认定有效的节能产品认证证书、环境标志产品认证证书数量累计计算。成交供应商并列的，由询价小组根据询价通知书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对响应报价进行评审前，对提供相同品牌产品的不同供应商参加同一合同项下响应的，以其中通过资格审查、符合性审查且报价最低的供应商参加评审（任意一个核心产品是相同品牌时视为提供相同品牌产品的供应商）；报价相同的，由采购人或者采购人委托询价小组按照随机抽取方式确定一名供应商参加评审，其他作无效响应处理。</w:t>
      </w:r>
    </w:p>
    <w:p>
      <w:pPr>
        <w:pStyle w:val="null3"/>
        <w:jc w:val="left"/>
        <w:outlineLvl w:val="3"/>
      </w:pPr>
      <w:r>
        <w:rPr>
          <w:rFonts w:ascii="仿宋_GB2312" w:hAnsi="仿宋_GB2312" w:cs="仿宋_GB2312" w:eastAsia="仿宋_GB2312"/>
          <w:sz w:val="24"/>
          <w:b/>
        </w:rPr>
        <w:t>4.3.9.出具询价报告</w:t>
      </w:r>
    </w:p>
    <w:p>
      <w:pPr>
        <w:pStyle w:val="null3"/>
        <w:ind w:firstLine="480"/>
        <w:jc w:val="left"/>
      </w:pPr>
      <w:r>
        <w:rPr>
          <w:rFonts w:ascii="仿宋_GB2312" w:hAnsi="仿宋_GB2312" w:cs="仿宋_GB2312" w:eastAsia="仿宋_GB2312"/>
        </w:rPr>
        <w:t>询价小组推荐成交候选供应商后，应向代理机构出具询价报告。询价报告应当包括以下主要内容：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二、响应文件开启日期和地点，询价小组成员名单；</w:t>
      </w:r>
    </w:p>
    <w:p>
      <w:pPr>
        <w:pStyle w:val="null3"/>
        <w:ind w:firstLine="480"/>
        <w:jc w:val="left"/>
      </w:pPr>
      <w:r>
        <w:rPr>
          <w:rFonts w:ascii="仿宋_GB2312" w:hAnsi="仿宋_GB2312" w:cs="仿宋_GB2312" w:eastAsia="仿宋_GB2312"/>
        </w:rPr>
        <w:t>三、提交报价的供应商名单及报价情况，获取询价通知书但未提交报价的供应商名单；</w:t>
      </w:r>
    </w:p>
    <w:p>
      <w:pPr>
        <w:pStyle w:val="null3"/>
        <w:ind w:firstLine="480"/>
        <w:jc w:val="left"/>
      </w:pPr>
      <w:r>
        <w:rPr>
          <w:rFonts w:ascii="仿宋_GB2312" w:hAnsi="仿宋_GB2312" w:cs="仿宋_GB2312" w:eastAsia="仿宋_GB2312"/>
        </w:rPr>
        <w:t>四、评审情况记录和说明，包括对供应商的资格审查情况、供应商响应文件评审情况、询价采购活动情况、报价情况等；</w:t>
      </w:r>
    </w:p>
    <w:p>
      <w:pPr>
        <w:pStyle w:val="null3"/>
        <w:ind w:firstLine="480"/>
        <w:jc w:val="left"/>
      </w:pPr>
      <w:r>
        <w:rPr>
          <w:rFonts w:ascii="仿宋_GB2312" w:hAnsi="仿宋_GB2312" w:cs="仿宋_GB2312" w:eastAsia="仿宋_GB2312"/>
        </w:rPr>
        <w:t>五、推荐的成交候选供应商的排序名单及理由。</w:t>
      </w:r>
    </w:p>
    <w:p>
      <w:pPr>
        <w:pStyle w:val="null3"/>
        <w:ind w:firstLine="480"/>
        <w:jc w:val="left"/>
      </w:pPr>
      <w:r>
        <w:rPr>
          <w:rFonts w:ascii="仿宋_GB2312" w:hAnsi="仿宋_GB2312" w:cs="仿宋_GB2312" w:eastAsia="仿宋_GB2312"/>
        </w:rPr>
        <w:t>询价报告应当由询价小组全体人员签字或加盖电子印章认可。询价小组成员对询价报告有异议的，询价小组按照少数服从多数的原则推荐成交候选供应商，采购程序继续进行。对询价报告有异议的询价小组成员，应当在报告上签署不同意见并说明理由，由询价小组记录相关情况。询价小组成员拒绝在询价报告上签字或加盖电子印章又不说明其不同意见和理由的，视为同意询价报告。</w:t>
      </w:r>
    </w:p>
    <w:p>
      <w:pPr>
        <w:pStyle w:val="null3"/>
        <w:jc w:val="left"/>
        <w:outlineLvl w:val="3"/>
      </w:pPr>
      <w:r>
        <w:rPr>
          <w:rFonts w:ascii="仿宋_GB2312" w:hAnsi="仿宋_GB2312" w:cs="仿宋_GB2312" w:eastAsia="仿宋_GB2312"/>
          <w:sz w:val="24"/>
          <w:b/>
        </w:rPr>
        <w:t>4.3.10.询价争议处理规则</w:t>
      </w:r>
    </w:p>
    <w:p>
      <w:pPr>
        <w:pStyle w:val="null3"/>
        <w:ind w:firstLine="480"/>
        <w:jc w:val="left"/>
      </w:pPr>
      <w:r>
        <w:rPr>
          <w:rFonts w:ascii="仿宋_GB2312" w:hAnsi="仿宋_GB2312" w:cs="仿宋_GB2312" w:eastAsia="仿宋_GB2312"/>
        </w:rPr>
        <w:t>询价小组在询价过程中，对于资格审查、符合性审查、对供应商响应文件作无效处理及其他需要共同认定的事项存在争议的，应当以少数服从多数的原则作出结论，但不得违反法律法规和询价通知书规定。对询价报告有异议的，应当在询价报告上签署不同意见并说明理由，否则视为同意询价报告。持不同意见的询价小组成员认为认定过程和结果不符合法律法规或者询价通知书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4.4.评审方法、细则及标准</w:t>
      </w:r>
    </w:p>
    <w:p>
      <w:pPr>
        <w:pStyle w:val="null3"/>
        <w:jc w:val="left"/>
      </w:pPr>
      <w:r>
        <w:rPr>
          <w:rFonts w:ascii="仿宋_GB2312" w:hAnsi="仿宋_GB2312" w:cs="仿宋_GB2312" w:eastAsia="仿宋_GB2312"/>
          <w:b/>
        </w:rPr>
        <w:t>4.4.1.评审方法</w:t>
      </w:r>
    </w:p>
    <w:p>
      <w:pPr>
        <w:pStyle w:val="null3"/>
        <w:ind w:firstLine="480"/>
        <w:jc w:val="left"/>
      </w:pPr>
      <w:r>
        <w:rPr>
          <w:rFonts w:ascii="仿宋_GB2312" w:hAnsi="仿宋_GB2312" w:cs="仿宋_GB2312" w:eastAsia="仿宋_GB2312"/>
        </w:rPr>
        <w:t>最低评标价法，是指响应文件满足询价通知书全部实质性要求且响应报价最低的供应商为成交候选供应商的评审方法。</w:t>
      </w:r>
    </w:p>
    <w:p>
      <w:pPr>
        <w:pStyle w:val="null3"/>
        <w:jc w:val="left"/>
      </w:pPr>
      <w:r>
        <w:rPr>
          <w:rFonts w:ascii="仿宋_GB2312" w:hAnsi="仿宋_GB2312" w:cs="仿宋_GB2312" w:eastAsia="仿宋_GB2312"/>
          <w:b/>
        </w:rPr>
        <w:t>4.4.2.评审细则及标准</w:t>
      </w:r>
    </w:p>
    <w:p>
      <w:pPr>
        <w:pStyle w:val="null3"/>
        <w:jc w:val="left"/>
      </w:pPr>
      <w:r>
        <w:rPr>
          <w:rFonts w:ascii="仿宋_GB2312" w:hAnsi="仿宋_GB2312" w:cs="仿宋_GB2312" w:eastAsia="仿宋_GB2312"/>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符合《政府采购促进中小企业发展管理办法》（财库〔2020〕46号）规定的小微企业报价给予扣除，用扣除后的价格参加评审。</w:t>
            </w:r>
          </w:p>
        </w:tc>
        <w:tc>
          <w:tcPr>
            <w:tcW w:type="dxa" w:w="831"/>
          </w:tcPr>
          <w:p>
            <w:pPr>
              <w:pStyle w:val="null3"/>
              <w:jc w:val="right"/>
            </w:pPr>
            <w:r>
              <w:rPr>
                <w:rFonts w:ascii="仿宋_GB2312" w:hAnsi="仿宋_GB2312" w:cs="仿宋_GB2312" w:eastAsia="仿宋_GB2312"/>
              </w:rPr>
              <w:t>20.00%</w:t>
            </w:r>
          </w:p>
        </w:tc>
        <w:tc>
          <w:tcPr>
            <w:tcW w:type="dxa" w:w="1661"/>
          </w:tcPr>
          <w:p>
            <w:pPr>
              <w:pStyle w:val="null3"/>
              <w:jc w:val="left"/>
            </w:pPr>
            <w:r>
              <w:rPr>
                <w:rFonts w:ascii="仿宋_GB2312" w:hAnsi="仿宋_GB2312" w:cs="仿宋_GB2312" w:eastAsia="仿宋_GB2312"/>
              </w:rPr>
              <w:t>价格扣除计算公式：评标价=投标报价×（1-C1）；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pPr>
      <w:r>
        <w:rPr>
          <w:rFonts w:ascii="仿宋_GB2312" w:hAnsi="仿宋_GB2312" w:cs="仿宋_GB2312" w:eastAsia="仿宋_GB2312"/>
          <w:b/>
        </w:rPr>
        <w:t>价格评审</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价格评审条款</w:t>
      </w:r>
    </w:p>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rFonts w:ascii="仿宋_GB2312" w:hAnsi="仿宋_GB2312" w:cs="仿宋_GB2312" w:eastAsia="仿宋_GB2312"/>
              </w:rPr>
              <w:t xml:space="preserve"> 序号</w:t>
            </w:r>
          </w:p>
        </w:tc>
        <w:tc>
          <w:tcPr>
            <w:tcW w:type="dxa" w:w="1846"/>
          </w:tcPr>
          <w:p>
            <w:pPr>
              <w:pStyle w:val="null3"/>
              <w:jc w:val="center"/>
            </w:pPr>
            <w:r>
              <w:rPr>
                <w:rFonts w:ascii="仿宋_GB2312" w:hAnsi="仿宋_GB2312" w:cs="仿宋_GB2312" w:eastAsia="仿宋_GB2312"/>
              </w:rPr>
              <w:t xml:space="preserve"> 评审因素</w:t>
            </w:r>
          </w:p>
        </w:tc>
        <w:tc>
          <w:tcPr>
            <w:tcW w:type="dxa" w:w="923"/>
          </w:tcPr>
          <w:p>
            <w:pPr>
              <w:pStyle w:val="null3"/>
              <w:jc w:val="center"/>
            </w:pPr>
            <w:r>
              <w:rPr>
                <w:rFonts w:ascii="仿宋_GB2312" w:hAnsi="仿宋_GB2312" w:cs="仿宋_GB2312" w:eastAsia="仿宋_GB2312"/>
              </w:rPr>
              <w:t xml:space="preserve"> 评审价格权重</w:t>
            </w:r>
          </w:p>
        </w:tc>
        <w:tc>
          <w:tcPr>
            <w:tcW w:type="dxa" w:w="2769"/>
          </w:tcPr>
          <w:p>
            <w:pPr>
              <w:pStyle w:val="null3"/>
              <w:jc w:val="center"/>
            </w:pPr>
            <w:r>
              <w:rPr>
                <w:rFonts w:ascii="仿宋_GB2312" w:hAnsi="仿宋_GB2312" w:cs="仿宋_GB2312" w:eastAsia="仿宋_GB2312"/>
              </w:rPr>
              <w:t xml:space="preserve"> 具体标准和要求</w:t>
            </w:r>
          </w:p>
        </w:tc>
        <w:tc>
          <w:tcPr>
            <w:tcW w:type="dxa" w:w="2123"/>
          </w:tcPr>
          <w:p>
            <w:pPr>
              <w:pStyle w:val="null3"/>
              <w:jc w:val="center"/>
            </w:pPr>
            <w:r>
              <w:rPr>
                <w:rFonts w:ascii="仿宋_GB2312" w:hAnsi="仿宋_GB2312" w:cs="仿宋_GB2312" w:eastAsia="仿宋_GB2312"/>
                <w:b/>
              </w:rPr>
              <w:t xml:space="preserve"> 关联响应文件格式文本</w:t>
            </w:r>
          </w:p>
        </w:tc>
      </w:tr>
      <w:tr>
        <w:tc>
          <w:tcPr>
            <w:tcW w:type="dxa" w:w="646"/>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合计</w:t>
            </w:r>
          </w:p>
        </w:tc>
        <w:tc>
          <w:tcPr>
            <w:tcW w:type="dxa" w:w="923"/>
          </w:tcPr>
          <w:p>
            <w:pPr>
              <w:pStyle w:val="null3"/>
              <w:jc w:val="right"/>
            </w:pPr>
            <w:r>
              <w:rPr>
                <w:rFonts w:ascii="仿宋_GB2312" w:hAnsi="仿宋_GB2312" w:cs="仿宋_GB2312" w:eastAsia="仿宋_GB2312"/>
              </w:rPr>
              <w:t>100.00%</w:t>
            </w:r>
          </w:p>
        </w:tc>
        <w:tc>
          <w:tcPr>
            <w:tcW w:type="dxa" w:w="2769"/>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评审系数。评审价格=响应报价。经价格调整后的评审价格=响应报价×（1-价格调整比例）基准价=经价格调整后评审价格的最低值。</w:t>
            </w:r>
          </w:p>
        </w:tc>
        <w:tc>
          <w:tcPr>
            <w:tcW w:type="dxa" w:w="2123"/>
          </w:tcPr>
          <w:p>
            <w:pPr>
              <w:pStyle w:val="null3"/>
              <w:jc w:val="left"/>
            </w:pPr>
            <w:r>
              <w:rPr>
                <w:rFonts w:ascii="仿宋_GB2312" w:hAnsi="仿宋_GB2312" w:cs="仿宋_GB2312" w:eastAsia="仿宋_GB2312"/>
              </w:rPr>
              <w:t>报价表</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559"/>
          </w:tcPr>
          <w:p>
            <w:pPr>
              <w:pStyle w:val="null3"/>
              <w:jc w:val="left"/>
            </w:pPr>
            <w:r>
              <w:rPr>
                <w:rFonts w:ascii="仿宋_GB2312" w:hAnsi="仿宋_GB2312" w:cs="仿宋_GB2312" w:eastAsia="仿宋_GB2312"/>
              </w:rPr>
              <w:t>1</w:t>
            </w:r>
          </w:p>
        </w:tc>
        <w:tc>
          <w:tcPr>
            <w:tcW w:type="dxa" w:w="2396"/>
          </w:tcPr>
          <w:p>
            <w:pPr>
              <w:pStyle w:val="null3"/>
              <w:jc w:val="left"/>
            </w:pPr>
            <w:r>
              <w:rPr>
                <w:rFonts w:ascii="仿宋_GB2312" w:hAnsi="仿宋_GB2312" w:cs="仿宋_GB2312" w:eastAsia="仿宋_GB2312"/>
              </w:rPr>
              <w:t>优先采购环境标志产品</w:t>
            </w:r>
          </w:p>
        </w:tc>
        <w:tc>
          <w:tcPr>
            <w:tcW w:type="dxa" w:w="2396"/>
          </w:tcPr>
          <w:p>
            <w:pPr>
              <w:pStyle w:val="null3"/>
              <w:jc w:val="left"/>
            </w:pPr>
            <w:r>
              <w:rPr>
                <w:rFonts w:ascii="仿宋_GB2312" w:hAnsi="仿宋_GB2312" w:cs="仿宋_GB2312" w:eastAsia="仿宋_GB2312"/>
              </w:rPr>
              <w:t>根据供应商响应的优先采购的环境标志产品，确定具有环境标志产品认证证书的数量，合并计入优先采购产品认证证书数量。说明：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w:t>
            </w:r>
          </w:p>
        </w:tc>
        <w:tc>
          <w:tcPr>
            <w:tcW w:type="dxa" w:w="2955"/>
          </w:tcPr>
          <w:p>
            <w:pPr>
              <w:pStyle w:val="null3"/>
              <w:jc w:val="left"/>
            </w:pPr>
            <w:r>
              <w:rPr>
                <w:rFonts w:ascii="仿宋_GB2312" w:hAnsi="仿宋_GB2312" w:cs="仿宋_GB2312" w:eastAsia="仿宋_GB2312"/>
              </w:rPr>
              <w:t>供应商应提交的相关证明材料</w:t>
            </w:r>
          </w:p>
        </w:tc>
      </w:tr>
    </w:tbl>
    <w:p>
      <w:pPr>
        <w:pStyle w:val="null3"/>
        <w:jc w:val="left"/>
        <w:outlineLvl w:val="2"/>
      </w:pPr>
      <w:r>
        <w:rPr>
          <w:rFonts w:ascii="仿宋_GB2312" w:hAnsi="仿宋_GB2312" w:cs="仿宋_GB2312" w:eastAsia="仿宋_GB2312"/>
          <w:sz w:val="28"/>
          <w:b/>
        </w:rPr>
        <w:t>4.5.终止采购活动</w:t>
      </w:r>
    </w:p>
    <w:p>
      <w:pPr>
        <w:pStyle w:val="null3"/>
        <w:ind w:firstLine="480"/>
        <w:jc w:val="left"/>
      </w:pPr>
      <w:r>
        <w:rPr>
          <w:rFonts w:ascii="仿宋_GB2312" w:hAnsi="仿宋_GB2312" w:cs="仿宋_GB2312" w:eastAsia="仿宋_GB2312"/>
        </w:rPr>
        <w:t>出现下列情形之一的，采购人或者代理机构应当终止询价采购活动，发布项目终止公告并说明原因，重新开展采购活动：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一、因情况变化，不再符合规定的询价采购方式适用情形的；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三、在采购过程中符合竞争要求的供应商或者报价未超过采购预算的供应商不足3家。</w:t>
      </w:r>
    </w:p>
    <w:p>
      <w:pPr>
        <w:pStyle w:val="null3"/>
        <w:jc w:val="left"/>
        <w:outlineLvl w:val="2"/>
      </w:pPr>
      <w:r>
        <w:rPr>
          <w:rFonts w:ascii="仿宋_GB2312" w:hAnsi="仿宋_GB2312" w:cs="仿宋_GB2312" w:eastAsia="仿宋_GB2312"/>
          <w:sz w:val="28"/>
          <w:b/>
        </w:rPr>
        <w:t>4.6.确定成交供应商</w:t>
      </w:r>
    </w:p>
    <w:p>
      <w:pPr>
        <w:pStyle w:val="null3"/>
        <w:ind w:firstLine="480"/>
        <w:jc w:val="left"/>
      </w:pPr>
      <w:r>
        <w:rPr>
          <w:rFonts w:ascii="仿宋_GB2312" w:hAnsi="仿宋_GB2312" w:cs="仿宋_GB2312" w:eastAsia="仿宋_GB2312"/>
        </w:rPr>
        <w:t>一、代理机构在询价结束后2个工作日内将询价报告送采购人。</w:t>
      </w:r>
    </w:p>
    <w:p>
      <w:pPr>
        <w:pStyle w:val="null3"/>
        <w:jc w:val="left"/>
      </w:pPr>
      <w:r>
        <w:rPr>
          <w:rFonts w:ascii="仿宋_GB2312" w:hAnsi="仿宋_GB2312" w:cs="仿宋_GB2312" w:eastAsia="仿宋_GB2312"/>
        </w:rPr>
        <w:t>二、采购人应当自收到评审报告之日起5个工作日内，在询价报告确定的成交候选供应商名单中按顺序确定1名成交供应商。采购人逾期未确定成交供应商且不提出异议的，视为确定询价报告提出的排序第一的供应商为成交供应商。</w:t>
      </w:r>
    </w:p>
    <w:p>
      <w:pPr>
        <w:pStyle w:val="null3"/>
        <w:jc w:val="left"/>
      </w:pPr>
      <w:r>
        <w:rPr>
          <w:rFonts w:ascii="仿宋_GB2312" w:hAnsi="仿宋_GB2312" w:cs="仿宋_GB2312" w:eastAsia="仿宋_GB2312"/>
        </w:rPr>
        <w:t>三、采购人或者代理机构应当自成交供应商确定之日起 2 个工作日内，在四川政府采购网公告成交结果，询价通知书应当随成交结果同时公告。</w:t>
      </w:r>
    </w:p>
    <w:p>
      <w:pPr>
        <w:pStyle w:val="null3"/>
        <w:jc w:val="left"/>
        <w:outlineLvl w:val="2"/>
      </w:pPr>
      <w:r>
        <w:rPr>
          <w:rFonts w:ascii="仿宋_GB2312" w:hAnsi="仿宋_GB2312" w:cs="仿宋_GB2312" w:eastAsia="仿宋_GB2312"/>
          <w:sz w:val="28"/>
          <w:b/>
        </w:rPr>
        <w:t>4.7.询价小组义务</w:t>
      </w:r>
    </w:p>
    <w:p>
      <w:pPr>
        <w:pStyle w:val="null3"/>
        <w:ind w:firstLine="480"/>
        <w:jc w:val="left"/>
      </w:pPr>
      <w:r>
        <w:rPr>
          <w:rFonts w:ascii="仿宋_GB2312" w:hAnsi="仿宋_GB2312" w:cs="仿宋_GB2312" w:eastAsia="仿宋_GB2312"/>
        </w:rPr>
        <w:t>询价小组在政府采购活动中应当履行下列义务：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二、按照客观、公正、审慎的原则，根据询价通知书规定的评审程序、评审方法和评审标准进行独立评审；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五、发现询价通知书内容违反国家有关强制性规定或者存在歧义、重大缺陷导致评审工作无法进行时，停止评审并通过交易系统向代理机构书面说明情况，说明停止评审的情形和具体理由；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4.8.询价小组成员工作纪律</w:t>
      </w:r>
    </w:p>
    <w:p>
      <w:pPr>
        <w:pStyle w:val="null3"/>
        <w:ind w:firstLine="480"/>
        <w:jc w:val="left"/>
      </w:pPr>
      <w:r>
        <w:rPr>
          <w:rFonts w:ascii="仿宋_GB2312" w:hAnsi="仿宋_GB2312" w:cs="仿宋_GB2312" w:eastAsia="仿宋_GB2312"/>
        </w:rPr>
        <w:t>询价小组成员在政府采购活动中应当遵守下列工作纪律：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一、严格遵守政府采购法律制度关于询价小组成员回避的规定。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询价通知书确定的评审程序、评审方法、评审因素和评审标准，不得接受供应商主动提出的澄清和解释，不得征询采购人代表的意见，不得违反规定的评审格式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详见附件：具有健全财务会计制度的证明材料</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详见附件：产品技术参数响应表</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拟签订的合同文本</w:t>
      </w:r>
    </w:p>
    <w:p>
      <w:pPr>
        <w:pStyle w:val="null3"/>
        <w:jc w:val="left"/>
        <w:outlineLvl w:val="0"/>
      </w:pPr>
      <w:r>
        <w:rPr>
          <w:rFonts w:ascii="仿宋_GB2312" w:hAnsi="仿宋_GB2312" w:cs="仿宋_GB2312" w:eastAsia="仿宋_GB2312"/>
          <w:sz w:val="48"/>
          <w:b/>
        </w:rPr>
        <w:t>采购项目名称</w:t>
      </w:r>
      <w:r>
        <w:rPr>
          <w:rFonts w:ascii="仿宋_GB2312" w:hAnsi="仿宋_GB2312" w:cs="仿宋_GB2312" w:eastAsia="仿宋_GB2312"/>
          <w:sz w:val="48"/>
          <w:b/>
        </w:rPr>
        <w:t>-</w:t>
      </w:r>
      <w:r>
        <w:rPr>
          <w:rFonts w:ascii="仿宋_GB2312" w:hAnsi="仿宋_GB2312" w:cs="仿宋_GB2312" w:eastAsia="仿宋_GB2312"/>
          <w:sz w:val="48"/>
          <w:b/>
        </w:rPr>
        <w:t>采购包名称</w:t>
      </w:r>
      <w:r>
        <w:rPr>
          <w:rFonts w:ascii="仿宋_GB2312" w:hAnsi="仿宋_GB2312" w:cs="仿宋_GB2312" w:eastAsia="仿宋_GB2312"/>
          <w:sz w:val="48"/>
          <w:b/>
        </w:rPr>
        <w:t>（第</w:t>
      </w:r>
      <w:r>
        <w:rPr>
          <w:rFonts w:ascii="仿宋_GB2312" w:hAnsi="仿宋_GB2312" w:cs="仿宋_GB2312" w:eastAsia="仿宋_GB2312"/>
          <w:sz w:val="48"/>
          <w:b/>
        </w:rPr>
        <w:t>X</w:t>
      </w:r>
      <w:r>
        <w:rPr>
          <w:rFonts w:ascii="仿宋_GB2312" w:hAnsi="仿宋_GB2312" w:cs="仿宋_GB2312" w:eastAsia="仿宋_GB2312"/>
          <w:sz w:val="48"/>
          <w:b/>
        </w:rPr>
        <w:t>包）</w:t>
      </w:r>
    </w:p>
    <w:p>
      <w:pPr>
        <w:pStyle w:val="null3"/>
        <w:jc w:val="center"/>
        <w:outlineLvl w:val="0"/>
      </w:pPr>
      <w:r>
        <w:rPr>
          <w:rFonts w:ascii="仿宋_GB2312" w:hAnsi="仿宋_GB2312" w:cs="仿宋_GB2312" w:eastAsia="仿宋_GB2312"/>
          <w:sz w:val="48"/>
          <w:b/>
        </w:rPr>
        <w:t xml:space="preserve"> 政府采购合同</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采购人（甲方）：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供应商（乙方）：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签订地点：</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根据《中华人民共和国民法典》《中华人民共和国政府采购法》等法律法规，以及本采购项目的采购文件、乙方的《投标（响应）文件》及《中标（成交）通知书》，甲乙双方同意签订本合同，共同遵守如下条款：</w:t>
      </w:r>
    </w:p>
    <w:p>
      <w:pPr>
        <w:pStyle w:val="null3"/>
        <w:jc w:val="left"/>
        <w:outlineLvl w:val="2"/>
      </w:pPr>
      <w:r>
        <w:rPr>
          <w:rFonts w:ascii="仿宋_GB2312" w:hAnsi="仿宋_GB2312" w:cs="仿宋_GB2312" w:eastAsia="仿宋_GB2312"/>
          <w:sz w:val="28"/>
          <w:b/>
        </w:rPr>
        <w:t>一、项目信息</w:t>
      </w:r>
    </w:p>
    <w:p>
      <w:pPr>
        <w:pStyle w:val="null3"/>
        <w:jc w:val="left"/>
      </w:pPr>
      <w:r>
        <w:rPr>
          <w:rFonts w:ascii="仿宋_GB2312" w:hAnsi="仿宋_GB2312" w:cs="仿宋_GB2312" w:eastAsia="仿宋_GB2312"/>
        </w:rPr>
        <w:t>1.1.采购项目名称：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1.2.采购项目编号：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1.3.采购计划编号：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1.4.政府采购组织形式：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1.5.政府采购方式：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1.6.落实政府采购政策情况：</w:t>
      </w:r>
    </w:p>
    <w:p>
      <w:pPr>
        <w:pStyle w:val="null3"/>
        <w:jc w:val="left"/>
      </w:pPr>
      <w:r>
        <w:rPr>
          <w:rFonts w:ascii="仿宋_GB2312" w:hAnsi="仿宋_GB2312" w:cs="仿宋_GB2312" w:eastAsia="仿宋_GB2312"/>
        </w:rPr>
        <w:t>1.6.1中标（成交）采购标的制造商是否为中小企业：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1.6.2本合同是否为专门面向中小企业的采购合同（中小企业预留合同）：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1.6.3若本项目不专门面向中小企业采购，是否给予小微企业评审优惠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1.6.4中标（成交）采购标的制造商是否为残疾人福利性单位：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1.6.5中标（成交）采购标的制造商是否为监狱企业：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1.7中标（成交）供应商是否为外商投资企业：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jc w:val="left"/>
      </w:pPr>
      <w:r>
        <w:rPr>
          <w:rFonts w:ascii="仿宋_GB2312" w:hAnsi="仿宋_GB2312" w:cs="仿宋_GB2312" w:eastAsia="仿宋_GB2312"/>
        </w:rPr>
        <w:t>本项目外商投资企业类型为：</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1.8项目内容：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涉及信息类产品：</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center"/>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标的名称</w:t>
            </w:r>
          </w:p>
        </w:tc>
        <w:tc>
          <w:tcPr>
            <w:tcW w:type="dxa" w:w="1661"/>
          </w:tcPr>
          <w:p>
            <w:pPr>
              <w:pStyle w:val="null3"/>
              <w:jc w:val="left"/>
            </w:pPr>
            <w:r>
              <w:rPr>
                <w:rFonts w:ascii="仿宋_GB2312" w:hAnsi="仿宋_GB2312" w:cs="仿宋_GB2312" w:eastAsia="仿宋_GB2312"/>
              </w:rPr>
              <w:t>关键部件</w:t>
            </w:r>
          </w:p>
        </w:tc>
        <w:tc>
          <w:tcPr>
            <w:tcW w:type="dxa" w:w="1661"/>
          </w:tcPr>
          <w:p>
            <w:pPr>
              <w:pStyle w:val="null3"/>
              <w:jc w:val="left"/>
            </w:pPr>
            <w:r>
              <w:rPr>
                <w:rFonts w:ascii="仿宋_GB2312" w:hAnsi="仿宋_GB2312" w:cs="仿宋_GB2312" w:eastAsia="仿宋_GB2312"/>
              </w:rPr>
              <w:t>品牌</w:t>
            </w:r>
          </w:p>
        </w:tc>
        <w:tc>
          <w:tcPr>
            <w:tcW w:type="dxa" w:w="1661"/>
          </w:tcPr>
          <w:p>
            <w:pPr>
              <w:pStyle w:val="null3"/>
              <w:jc w:val="left"/>
            </w:pPr>
            <w:r>
              <w:rPr>
                <w:rFonts w:ascii="仿宋_GB2312" w:hAnsi="仿宋_GB2312" w:cs="仿宋_GB2312" w:eastAsia="仿宋_GB2312"/>
              </w:rPr>
              <w:t>型号</w:t>
            </w:r>
          </w:p>
        </w:tc>
      </w:tr>
      <w:tr>
        <w:tc>
          <w:tcPr>
            <w:tcW w:type="dxa" w:w="1661"/>
          </w:tcPr>
          <w:p/>
        </w:tc>
        <w:tc>
          <w:tcPr>
            <w:tcW w:type="dxa" w:w="1661"/>
          </w:tcPr>
          <w:p/>
        </w:tc>
        <w:tc>
          <w:tcPr>
            <w:tcW w:type="dxa" w:w="1661"/>
          </w:tcPr>
          <w:p/>
        </w:tc>
        <w:tc>
          <w:tcPr>
            <w:tcW w:type="dxa" w:w="1661"/>
          </w:tcPr>
          <w:p/>
        </w:tc>
        <w:tc>
          <w:tcPr>
            <w:tcW w:type="dxa" w:w="1661"/>
          </w:tcPr>
          <w:p/>
        </w:tc>
      </w:tr>
    </w:tbl>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涉及采购新能源汽车：</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采购品目名称</w:t>
            </w:r>
          </w:p>
        </w:tc>
        <w:tc>
          <w:tcPr>
            <w:tcW w:type="dxa" w:w="2076"/>
          </w:tcPr>
          <w:p>
            <w:pPr>
              <w:pStyle w:val="null3"/>
              <w:jc w:val="left"/>
            </w:pPr>
            <w:r>
              <w:rPr>
                <w:rFonts w:ascii="仿宋_GB2312" w:hAnsi="仿宋_GB2312" w:cs="仿宋_GB2312" w:eastAsia="仿宋_GB2312"/>
              </w:rPr>
              <w:t>数量</w:t>
            </w:r>
          </w:p>
        </w:tc>
        <w:tc>
          <w:tcPr>
            <w:tcW w:type="dxa" w:w="2076"/>
          </w:tcPr>
          <w:p>
            <w:pPr>
              <w:pStyle w:val="null3"/>
              <w:jc w:val="left"/>
            </w:pPr>
            <w:r>
              <w:rPr>
                <w:rFonts w:ascii="仿宋_GB2312" w:hAnsi="仿宋_GB2312" w:cs="仿宋_GB2312" w:eastAsia="仿宋_GB2312"/>
              </w:rPr>
              <w:t>金额</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合同分包：</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分包主要内容</w:t>
            </w:r>
          </w:p>
        </w:tc>
        <w:tc>
          <w:tcPr>
            <w:tcW w:type="dxa" w:w="2076"/>
          </w:tcPr>
          <w:p>
            <w:pPr>
              <w:pStyle w:val="null3"/>
              <w:jc w:val="left"/>
            </w:pPr>
            <w:r>
              <w:rPr>
                <w:rFonts w:ascii="仿宋_GB2312" w:hAnsi="仿宋_GB2312" w:cs="仿宋_GB2312" w:eastAsia="仿宋_GB2312"/>
              </w:rPr>
              <w:t>分包供应商/制造商名称</w:t>
            </w:r>
          </w:p>
        </w:tc>
        <w:tc>
          <w:tcPr>
            <w:tcW w:type="dxa" w:w="2076"/>
          </w:tcPr>
          <w:p>
            <w:pPr>
              <w:pStyle w:val="null3"/>
              <w:jc w:val="left"/>
            </w:pPr>
            <w:r>
              <w:rPr>
                <w:rFonts w:ascii="仿宋_GB2312" w:hAnsi="仿宋_GB2312" w:cs="仿宋_GB2312" w:eastAsia="仿宋_GB2312"/>
              </w:rPr>
              <w:t>分包供应商/制造商类型</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涉及采购进口产品：</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center"/>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采购品目名称</w:t>
            </w:r>
          </w:p>
        </w:tc>
        <w:tc>
          <w:tcPr>
            <w:tcW w:type="dxa" w:w="1038"/>
          </w:tcPr>
          <w:p>
            <w:pPr>
              <w:pStyle w:val="null3"/>
              <w:jc w:val="left"/>
            </w:pPr>
            <w:r>
              <w:rPr>
                <w:rFonts w:ascii="仿宋_GB2312" w:hAnsi="仿宋_GB2312" w:cs="仿宋_GB2312" w:eastAsia="仿宋_GB2312"/>
              </w:rPr>
              <w:t>标的名称</w:t>
            </w:r>
          </w:p>
        </w:tc>
        <w:tc>
          <w:tcPr>
            <w:tcW w:type="dxa" w:w="1038"/>
          </w:tcPr>
          <w:p>
            <w:pPr>
              <w:pStyle w:val="null3"/>
              <w:jc w:val="left"/>
            </w:pPr>
            <w:r>
              <w:rPr>
                <w:rFonts w:ascii="仿宋_GB2312" w:hAnsi="仿宋_GB2312" w:cs="仿宋_GB2312" w:eastAsia="仿宋_GB2312"/>
              </w:rPr>
              <w:t>产品名称</w:t>
            </w:r>
          </w:p>
        </w:tc>
        <w:tc>
          <w:tcPr>
            <w:tcW w:type="dxa" w:w="1038"/>
          </w:tcPr>
          <w:p>
            <w:pPr>
              <w:pStyle w:val="null3"/>
              <w:jc w:val="left"/>
            </w:pPr>
            <w:r>
              <w:rPr>
                <w:rFonts w:ascii="仿宋_GB2312" w:hAnsi="仿宋_GB2312" w:cs="仿宋_GB2312" w:eastAsia="仿宋_GB2312"/>
              </w:rPr>
              <w:t>品牌</w:t>
            </w:r>
          </w:p>
        </w:tc>
        <w:tc>
          <w:tcPr>
            <w:tcW w:type="dxa" w:w="1038"/>
          </w:tcPr>
          <w:p>
            <w:pPr>
              <w:pStyle w:val="null3"/>
              <w:jc w:val="left"/>
            </w:pPr>
            <w:r>
              <w:rPr>
                <w:rFonts w:ascii="仿宋_GB2312" w:hAnsi="仿宋_GB2312" w:cs="仿宋_GB2312" w:eastAsia="仿宋_GB2312"/>
              </w:rPr>
              <w:t>规格型号</w:t>
            </w:r>
          </w:p>
        </w:tc>
        <w:tc>
          <w:tcPr>
            <w:tcW w:type="dxa" w:w="1038"/>
          </w:tcPr>
          <w:p>
            <w:pPr>
              <w:pStyle w:val="null3"/>
              <w:jc w:val="left"/>
            </w:pPr>
            <w:r>
              <w:rPr>
                <w:rFonts w:ascii="仿宋_GB2312" w:hAnsi="仿宋_GB2312" w:cs="仿宋_GB2312" w:eastAsia="仿宋_GB2312"/>
              </w:rPr>
              <w:t>金额</w:t>
            </w:r>
          </w:p>
        </w:tc>
        <w:tc>
          <w:tcPr>
            <w:tcW w:type="dxa" w:w="1038"/>
          </w:tcPr>
          <w:p>
            <w:pPr>
              <w:pStyle w:val="null3"/>
              <w:jc w:val="left"/>
            </w:pPr>
            <w:r>
              <w:rPr>
                <w:rFonts w:ascii="仿宋_GB2312" w:hAnsi="仿宋_GB2312" w:cs="仿宋_GB2312" w:eastAsia="仿宋_GB2312"/>
              </w:rPr>
              <w:t>国别</w:t>
            </w:r>
          </w:p>
        </w:tc>
      </w:tr>
      <w:tr>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jc w:val="left"/>
      </w:pPr>
      <w:r>
        <w:rPr>
          <w:rFonts w:ascii="仿宋_GB2312" w:hAnsi="仿宋_GB2312" w:cs="仿宋_GB2312" w:eastAsia="仿宋_GB2312"/>
        </w:rPr>
        <w:t>涉及强制采购节能产品：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涉及优先采购环境标志产品：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涉及绿色产品：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outlineLvl w:val="2"/>
      </w:pPr>
      <w:r>
        <w:rPr>
          <w:rFonts w:ascii="仿宋_GB2312" w:hAnsi="仿宋_GB2312" w:cs="仿宋_GB2312" w:eastAsia="仿宋_GB2312"/>
          <w:sz w:val="28"/>
          <w:b/>
        </w:rPr>
        <w:t>二、货物要求</w:t>
      </w:r>
    </w:p>
    <w:p>
      <w:pPr>
        <w:pStyle w:val="null3"/>
        <w:jc w:val="left"/>
      </w:pPr>
      <w:r>
        <w:rPr>
          <w:rFonts w:ascii="仿宋_GB2312" w:hAnsi="仿宋_GB2312" w:cs="仿宋_GB2312" w:eastAsia="仿宋_GB2312"/>
        </w:rPr>
        <w:t>2.1.质量要求</w:t>
      </w:r>
    </w:p>
    <w:p>
      <w:pPr>
        <w:pStyle w:val="null3"/>
        <w:jc w:val="left"/>
      </w:pPr>
      <w:r>
        <w:rPr>
          <w:rFonts w:ascii="仿宋_GB2312" w:hAnsi="仿宋_GB2312" w:cs="仿宋_GB2312" w:eastAsia="仿宋_GB2312"/>
        </w:rPr>
        <w:t>2.1.1乙方所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2.1.2乙方所提供的所有货物、辅材中属于《国家强制性货物认证目录》范围内货物的，均通过国家强制性货物认证并取得认证证书。</w:t>
      </w:r>
    </w:p>
    <w:p>
      <w:pPr>
        <w:pStyle w:val="null3"/>
        <w:jc w:val="left"/>
      </w:pPr>
      <w:r>
        <w:rPr>
          <w:rFonts w:ascii="仿宋_GB2312" w:hAnsi="仿宋_GB2312" w:cs="仿宋_GB2312" w:eastAsia="仿宋_GB2312"/>
        </w:rPr>
        <w:t>2.1.3乙方所提供的货物应符合国家有关安全、环保、卫生的规定。</w:t>
      </w:r>
    </w:p>
    <w:p>
      <w:pPr>
        <w:pStyle w:val="null3"/>
        <w:jc w:val="left"/>
      </w:pPr>
      <w:r>
        <w:rPr>
          <w:rFonts w:ascii="仿宋_GB2312" w:hAnsi="仿宋_GB2312" w:cs="仿宋_GB2312" w:eastAsia="仿宋_GB2312"/>
        </w:rPr>
        <w:t>2.1.4乙方应向甲方提交所提供货物的技术文件，包括相应的中文技术文件，如：产品目录、图纸、操作手册、使用说明、维护手册或服务指南等。上述文件应包装好随货物一同发运。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2.2.包装方式及运输方式</w:t>
      </w:r>
    </w:p>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jc w:val="left"/>
      </w:pPr>
      <w:r>
        <w:rPr>
          <w:rFonts w:ascii="仿宋_GB2312" w:hAnsi="仿宋_GB2312" w:cs="仿宋_GB2312" w:eastAsia="仿宋_GB2312"/>
        </w:rPr>
        <w:t>2.3.质量保修范围和保修期</w:t>
      </w:r>
    </w:p>
    <w:p>
      <w:pPr>
        <w:pStyle w:val="null3"/>
        <w:jc w:val="left"/>
      </w:pPr>
      <w:r>
        <w:rPr>
          <w:rFonts w:ascii="仿宋_GB2312" w:hAnsi="仿宋_GB2312" w:cs="仿宋_GB2312" w:eastAsia="仿宋_GB2312"/>
        </w:rPr>
        <w:t>2.3.1乙方应保证提供的货物完全符合合同规定的质量、规格和性能要求。乙方应保证货物在正确安装、正常使用和保养条件下，在其使用寿命期内具备合同约定的性能。存在保修期的，货物最终交付验收合格后在采购文件规定的保修期或者乙方书面承诺（两者以较长的为准）的保修期内，本保证保持有效。</w:t>
      </w:r>
    </w:p>
    <w:p>
      <w:pPr>
        <w:pStyle w:val="null3"/>
        <w:jc w:val="left"/>
      </w:pPr>
      <w:r>
        <w:rPr>
          <w:rFonts w:ascii="仿宋_GB2312" w:hAnsi="仿宋_GB2312" w:cs="仿宋_GB2312" w:eastAsia="仿宋_GB2312"/>
        </w:rPr>
        <w:t>2.3.2在保修期内所发现的缺陷，甲方应尽快以书面形式通知乙方。</w:t>
      </w:r>
    </w:p>
    <w:p>
      <w:pPr>
        <w:pStyle w:val="null3"/>
        <w:jc w:val="left"/>
      </w:pPr>
      <w:r>
        <w:rPr>
          <w:rFonts w:ascii="仿宋_GB2312" w:hAnsi="仿宋_GB2312" w:cs="仿宋_GB2312" w:eastAsia="仿宋_GB2312"/>
        </w:rPr>
        <w:t>2.3.3乙方收到通知后，应在XX日内以合理的速度免费维修或更换有缺陷的货物或部件。</w:t>
      </w:r>
    </w:p>
    <w:p>
      <w:pPr>
        <w:pStyle w:val="null3"/>
        <w:jc w:val="left"/>
      </w:pPr>
      <w:r>
        <w:rPr>
          <w:rFonts w:ascii="仿宋_GB2312" w:hAnsi="仿宋_GB2312" w:cs="仿宋_GB2312" w:eastAsia="仿宋_GB2312"/>
        </w:rPr>
        <w:t>2.3.4在保修期内，如果货物的质量或规格与合同不符，或证实货物是有缺陷的，包括潜在的缺陷或使用不符合要求的材料等，甲方可以根据本合同第8.1条规定以书面形式追究乙方的违约责任。</w:t>
      </w:r>
    </w:p>
    <w:p>
      <w:pPr>
        <w:pStyle w:val="null3"/>
        <w:jc w:val="left"/>
      </w:pPr>
      <w:r>
        <w:rPr>
          <w:rFonts w:ascii="仿宋_GB2312" w:hAnsi="仿宋_GB2312" w:cs="仿宋_GB2312" w:eastAsia="仿宋_GB2312"/>
        </w:rPr>
        <w:t>2.3.5乙方在约定的时间内未能弥补缺陷，甲方可采取必要的补救措施，但其风险和费用将由乙方承担，甲方根据合同约定对乙方行使的其他权利不受影响。</w:t>
      </w:r>
    </w:p>
    <w:p>
      <w:pPr>
        <w:pStyle w:val="null3"/>
        <w:jc w:val="left"/>
      </w:pPr>
      <w:r>
        <w:rPr>
          <w:rFonts w:ascii="仿宋_GB2312" w:hAnsi="仿宋_GB2312" w:cs="仿宋_GB2312" w:eastAsia="仿宋_GB2312"/>
        </w:rPr>
        <w:t>2.4.其他要求</w:t>
      </w:r>
    </w:p>
    <w:p>
      <w:pPr>
        <w:pStyle w:val="null3"/>
        <w:jc w:val="left"/>
        <w:outlineLvl w:val="2"/>
      </w:pPr>
      <w:r>
        <w:rPr>
          <w:rFonts w:ascii="仿宋_GB2312" w:hAnsi="仿宋_GB2312" w:cs="仿宋_GB2312" w:eastAsia="仿宋_GB2312"/>
          <w:sz w:val="28"/>
          <w:b/>
        </w:rPr>
        <w:t>三、合同价款、支付方式和付款进度安排</w:t>
      </w:r>
    </w:p>
    <w:p>
      <w:pPr>
        <w:pStyle w:val="null3"/>
        <w:jc w:val="left"/>
      </w:pPr>
      <w:r>
        <w:rPr>
          <w:rFonts w:ascii="仿宋_GB2312" w:hAnsi="仿宋_GB2312" w:cs="仿宋_GB2312" w:eastAsia="仿宋_GB2312"/>
        </w:rPr>
        <w:t>3.1合同价款</w:t>
      </w:r>
    </w:p>
    <w:p>
      <w:pPr>
        <w:pStyle w:val="null3"/>
        <w:jc w:val="left"/>
      </w:pPr>
      <w:r>
        <w:rPr>
          <w:rFonts w:ascii="仿宋_GB2312" w:hAnsi="仿宋_GB2312" w:cs="仿宋_GB2312" w:eastAsia="仿宋_GB2312"/>
        </w:rPr>
        <w:t>本合同总金额为</w:t>
      </w:r>
      <w:r>
        <w:rPr>
          <w:rFonts w:ascii="仿宋_GB2312" w:hAnsi="仿宋_GB2312" w:cs="仿宋_GB2312" w:eastAsia="仿宋_GB2312"/>
        </w:rPr>
        <w:t>____________________</w:t>
      </w:r>
      <w:r>
        <w:rPr>
          <w:rFonts w:ascii="仿宋_GB2312" w:hAnsi="仿宋_GB2312" w:cs="仿宋_GB2312" w:eastAsia="仿宋_GB2312"/>
        </w:rPr>
        <w:t>元（大写：</w:t>
      </w:r>
      <w:r>
        <w:rPr>
          <w:rFonts w:ascii="仿宋_GB2312" w:hAnsi="仿宋_GB2312" w:cs="仿宋_GB2312" w:eastAsia="仿宋_GB2312"/>
        </w:rPr>
        <w:t>____________________</w:t>
      </w:r>
      <w:r>
        <w:rPr>
          <w:rFonts w:ascii="仿宋_GB2312" w:hAnsi="仿宋_GB2312" w:cs="仿宋_GB2312" w:eastAsia="仿宋_GB2312"/>
        </w:rPr>
        <w:t>元。 ）</w:t>
      </w:r>
    </w:p>
    <w:p>
      <w:pPr>
        <w:pStyle w:val="null3"/>
        <w:jc w:val="left"/>
      </w:pPr>
      <w:r>
        <w:rPr>
          <w:rFonts w:ascii="仿宋_GB2312" w:hAnsi="仿宋_GB2312" w:cs="仿宋_GB2312" w:eastAsia="仿宋_GB2312"/>
        </w:rPr>
        <w:t>其他情况说明：</w:t>
      </w:r>
    </w:p>
    <w:p>
      <w:pPr>
        <w:pStyle w:val="null3"/>
        <w:jc w:val="left"/>
      </w:pPr>
      <w:r>
        <w:rPr>
          <w:rFonts w:ascii="仿宋_GB2312" w:hAnsi="仿宋_GB2312" w:cs="仿宋_GB2312" w:eastAsia="仿宋_GB2312"/>
        </w:rPr>
        <w:t>3.2支付方式</w:t>
      </w:r>
    </w:p>
    <w:p>
      <w:pPr>
        <w:pStyle w:val="null3"/>
        <w:jc w:val="left"/>
      </w:pPr>
      <w:r>
        <w:rPr>
          <w:rFonts w:ascii="仿宋_GB2312" w:hAnsi="仿宋_GB2312" w:cs="仿宋_GB2312" w:eastAsia="仿宋_GB2312"/>
        </w:rPr>
        <w:t>一次性支付</w:t>
      </w:r>
      <w:r>
        <w:rPr>
          <w:rFonts w:ascii="仿宋_GB2312" w:hAnsi="仿宋_GB2312" w:cs="仿宋_GB2312" w:eastAsia="仿宋_GB2312"/>
        </w:rPr>
        <w:t>分期付款</w:t>
      </w:r>
    </w:p>
    <w:p>
      <w:pPr>
        <w:pStyle w:val="null3"/>
        <w:jc w:val="left"/>
      </w:pPr>
      <w:r>
        <w:rPr>
          <w:rFonts w:ascii="仿宋_GB2312" w:hAnsi="仿宋_GB2312" w:cs="仿宋_GB2312" w:eastAsia="仿宋_GB2312"/>
        </w:rPr>
        <w:t>3.3付款进度安排</w:t>
      </w:r>
    </w:p>
    <w:p>
      <w:pPr>
        <w:pStyle w:val="null3"/>
        <w:jc w:val="left"/>
        <w:outlineLvl w:val="2"/>
      </w:pPr>
      <w:r>
        <w:rPr>
          <w:rFonts w:ascii="仿宋_GB2312" w:hAnsi="仿宋_GB2312" w:cs="仿宋_GB2312" w:eastAsia="仿宋_GB2312"/>
          <w:sz w:val="28"/>
          <w:b/>
        </w:rPr>
        <w:t>四、合同履行</w:t>
      </w:r>
    </w:p>
    <w:p>
      <w:pPr>
        <w:pStyle w:val="null3"/>
        <w:jc w:val="left"/>
      </w:pPr>
      <w:r>
        <w:rPr>
          <w:rFonts w:ascii="仿宋_GB2312" w:hAnsi="仿宋_GB2312" w:cs="仿宋_GB2312" w:eastAsia="仿宋_GB2312"/>
        </w:rPr>
        <w:t>4.1交货时间：</w:t>
      </w:r>
      <w:r>
        <w:rPr>
          <w:rFonts w:ascii="仿宋_GB2312" w:hAnsi="仿宋_GB2312" w:cs="仿宋_GB2312" w:eastAsia="仿宋_GB2312"/>
        </w:rPr>
        <w:t>____________________</w:t>
      </w:r>
      <w:r>
        <w:rPr>
          <w:rFonts w:ascii="仿宋_GB2312" w:hAnsi="仿宋_GB2312" w:cs="仿宋_GB2312" w:eastAsia="仿宋_GB2312"/>
        </w:rPr>
        <w:t>，履约时间：</w:t>
      </w:r>
      <w:r>
        <w:rPr>
          <w:rFonts w:ascii="仿宋_GB2312" w:hAnsi="仿宋_GB2312" w:cs="仿宋_GB2312" w:eastAsia="仿宋_GB2312"/>
        </w:rPr>
        <w:t>-</w:t>
      </w:r>
    </w:p>
    <w:p>
      <w:pPr>
        <w:pStyle w:val="null3"/>
        <w:jc w:val="left"/>
      </w:pPr>
      <w:r>
        <w:rPr>
          <w:rFonts w:ascii="仿宋_GB2312" w:hAnsi="仿宋_GB2312" w:cs="仿宋_GB2312" w:eastAsia="仿宋_GB2312"/>
        </w:rPr>
        <w:t>4.2履约地点：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4.3分期履行要求：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4.4风险处置措施和替代方案：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五、验收、交付标准和方法</w:t>
      </w:r>
    </w:p>
    <w:p>
      <w:pPr>
        <w:pStyle w:val="null3"/>
        <w:jc w:val="left"/>
      </w:pPr>
      <w:r>
        <w:rPr>
          <w:rFonts w:ascii="仿宋_GB2312" w:hAnsi="仿宋_GB2312" w:cs="仿宋_GB2312" w:eastAsia="仿宋_GB2312"/>
        </w:rPr>
        <w:t>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outlineLvl w:val="2"/>
      </w:pPr>
      <w:r>
        <w:rPr>
          <w:rFonts w:ascii="仿宋_GB2312" w:hAnsi="仿宋_GB2312" w:cs="仿宋_GB2312" w:eastAsia="仿宋_GB2312"/>
          <w:sz w:val="28"/>
          <w:b/>
        </w:rPr>
        <w:t>六、甲方的权利和义务</w:t>
      </w:r>
    </w:p>
    <w:p>
      <w:pPr>
        <w:pStyle w:val="null3"/>
        <w:jc w:val="left"/>
      </w:pPr>
      <w:r>
        <w:rPr>
          <w:rFonts w:ascii="仿宋_GB2312" w:hAnsi="仿宋_GB2312" w:cs="仿宋_GB2312" w:eastAsia="仿宋_GB2312"/>
        </w:rPr>
        <w:t>6.1.甲方有权依据双方签订的合同对乙方提供的货物进行验收。甲方应当配合乙方完成相关项目实施工作。甲方未在约定的期限内对乙方履约提出任何异议或者向乙方作出任何说明的，视为验收通过。</w:t>
      </w:r>
    </w:p>
    <w:p>
      <w:pPr>
        <w:pStyle w:val="null3"/>
        <w:jc w:val="left"/>
      </w:pPr>
      <w:r>
        <w:rPr>
          <w:rFonts w:ascii="仿宋_GB2312" w:hAnsi="仿宋_GB2312" w:cs="仿宋_GB2312" w:eastAsia="仿宋_GB2312"/>
        </w:rPr>
        <w:t>6.2.根据本合同规定，满足约定支付条件的，甲方应当自收到发票后10日内将资金支付到合同约定的供应商账户，不得以机构变动、人员更替、政策调整等为由延迟付款，不得将采购文件和合同中未规定的义务作为向供应商付款的条件。</w:t>
      </w:r>
    </w:p>
    <w:p>
      <w:pPr>
        <w:pStyle w:val="null3"/>
        <w:jc w:val="left"/>
        <w:outlineLvl w:val="2"/>
      </w:pPr>
      <w:r>
        <w:rPr>
          <w:rFonts w:ascii="仿宋_GB2312" w:hAnsi="仿宋_GB2312" w:cs="仿宋_GB2312" w:eastAsia="仿宋_GB2312"/>
          <w:sz w:val="28"/>
          <w:b/>
        </w:rPr>
        <w:t>七、乙方的权利和义务</w:t>
      </w:r>
    </w:p>
    <w:p>
      <w:pPr>
        <w:pStyle w:val="null3"/>
        <w:jc w:val="left"/>
      </w:pPr>
      <w:r>
        <w:rPr>
          <w:rFonts w:ascii="仿宋_GB2312" w:hAnsi="仿宋_GB2312" w:cs="仿宋_GB2312" w:eastAsia="仿宋_GB2312"/>
        </w:rPr>
        <w:t>7.1.乙方有权根据本合同约定向甲方收取合同价款。</w:t>
      </w:r>
    </w:p>
    <w:p>
      <w:pPr>
        <w:pStyle w:val="null3"/>
        <w:jc w:val="left"/>
      </w:pPr>
      <w:r>
        <w:rPr>
          <w:rFonts w:ascii="仿宋_GB2312" w:hAnsi="仿宋_GB2312" w:cs="仿宋_GB2312" w:eastAsia="仿宋_GB2312"/>
        </w:rPr>
        <w:t>7.2.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7.3.乙方承诺遵守《中华人民共和国劳动合同法》有关规定和《中华人民共和国妇女权益保障法》中关于“劳动和社会保障权益”的有关要求。</w:t>
      </w:r>
    </w:p>
    <w:p>
      <w:pPr>
        <w:pStyle w:val="null3"/>
        <w:jc w:val="left"/>
        <w:outlineLvl w:val="2"/>
      </w:pPr>
      <w:r>
        <w:rPr>
          <w:rFonts w:ascii="仿宋_GB2312" w:hAnsi="仿宋_GB2312" w:cs="仿宋_GB2312" w:eastAsia="仿宋_GB2312"/>
          <w:sz w:val="28"/>
          <w:b/>
        </w:rPr>
        <w:t>八、违约责任</w:t>
      </w:r>
    </w:p>
    <w:p>
      <w:pPr>
        <w:pStyle w:val="null3"/>
        <w:jc w:val="left"/>
      </w:pPr>
      <w:r>
        <w:rPr>
          <w:rFonts w:ascii="仿宋_GB2312" w:hAnsi="仿宋_GB2312" w:cs="仿宋_GB2312" w:eastAsia="仿宋_GB2312"/>
        </w:rPr>
        <w:t>8.1质量瑕疵的违约责任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乙方提供的产品不符合合同约定的质量标准或存在产品质量缺陷，甲方有权要求乙方及时修理、重作、更换，并承担由此给甲方造成的损失。修理、重作、更换的具体要求为：XX。</w:t>
      </w:r>
    </w:p>
    <w:p>
      <w:pPr>
        <w:pStyle w:val="null3"/>
        <w:jc w:val="left"/>
      </w:pPr>
      <w:r>
        <w:rPr>
          <w:rFonts w:ascii="仿宋_GB2312" w:hAnsi="仿宋_GB2312" w:cs="仿宋_GB2312" w:eastAsia="仿宋_GB2312"/>
        </w:rPr>
        <w:t>8.2迟延交货的违约责任</w:t>
      </w:r>
    </w:p>
    <w:p>
      <w:pPr>
        <w:pStyle w:val="null3"/>
        <w:jc w:val="left"/>
      </w:pPr>
      <w:r>
        <w:rPr>
          <w:rFonts w:ascii="仿宋_GB2312" w:hAnsi="仿宋_GB2312" w:cs="仿宋_GB2312" w:eastAsia="仿宋_GB2312"/>
        </w:rPr>
        <w:t>8.2.1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8.2.2如果乙方没有按照合同规定的时间交货和提供相关服务，甲方有权从货款中扣除误期赔偿费而不影响合同项下的其他补救方法，赔偿费的计算方法为：XX。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8.2.3迟延支付的违约责任</w:t>
      </w:r>
    </w:p>
    <w:p>
      <w:pPr>
        <w:pStyle w:val="null3"/>
        <w:jc w:val="left"/>
      </w:pPr>
      <w:r>
        <w:rPr>
          <w:rFonts w:ascii="仿宋_GB2312" w:hAnsi="仿宋_GB2312" w:cs="仿宋_GB2312" w:eastAsia="仿宋_GB2312"/>
        </w:rPr>
        <w:t>甲方存在迟延支付乙方合同款项的，应当支付逾期付款利息，计算方法为：XX。</w:t>
      </w:r>
    </w:p>
    <w:p>
      <w:pPr>
        <w:pStyle w:val="null3"/>
        <w:jc w:val="left"/>
        <w:outlineLvl w:val="2"/>
      </w:pPr>
      <w:r>
        <w:rPr>
          <w:rFonts w:ascii="仿宋_GB2312" w:hAnsi="仿宋_GB2312" w:cs="仿宋_GB2312" w:eastAsia="仿宋_GB2312"/>
          <w:sz w:val="28"/>
          <w:b/>
        </w:rPr>
        <w:t>九、争议解决方法</w:t>
      </w:r>
    </w:p>
    <w:p>
      <w:pPr>
        <w:pStyle w:val="null3"/>
        <w:jc w:val="left"/>
      </w:pPr>
      <w:r>
        <w:rPr>
          <w:rFonts w:ascii="仿宋_GB2312" w:hAnsi="仿宋_GB2312" w:cs="仿宋_GB2312" w:eastAsia="仿宋_GB2312"/>
        </w:rPr>
        <w:t>9.1.因本合同及合同有关事项发生的争议，由甲乙双方友好协商解决。协商不成时，可以向有关组织申请调解。合同一方或双方不愿调解或调解不成的，可以通过仲裁或诉讼的方式解决争议。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9.2.因本合同及合同有关事项发生的争议，向XX仲裁委员会申请仲裁/向XX人民法院起诉。</w:t>
      </w:r>
    </w:p>
    <w:p>
      <w:pPr>
        <w:pStyle w:val="null3"/>
        <w:jc w:val="left"/>
      </w:pPr>
      <w:r>
        <w:rPr>
          <w:rFonts w:ascii="仿宋_GB2312" w:hAnsi="仿宋_GB2312" w:cs="仿宋_GB2312" w:eastAsia="仿宋_GB2312"/>
        </w:rPr>
        <w:t>9.3.如甲乙双方有争议的事项不影响合同其他部分的履行，在争议解决期间，合同其他部分应当继续履行。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十、组成合同的文件</w:t>
      </w:r>
    </w:p>
    <w:p>
      <w:pPr>
        <w:pStyle w:val="null3"/>
        <w:jc w:val="left"/>
      </w:pPr>
      <w:r>
        <w:rPr>
          <w:rFonts w:ascii="仿宋_GB2312" w:hAnsi="仿宋_GB2312" w:cs="仿宋_GB2312" w:eastAsia="仿宋_GB2312"/>
        </w:rPr>
        <w:t>本合同与下列文件一起构成合同文件，如下述文件之间有任何抵触、矛盾或歧义，应按以下顺序解释：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（1）政府采购合同及其变更、补充协议</w:t>
      </w:r>
    </w:p>
    <w:p>
      <w:pPr>
        <w:pStyle w:val="null3"/>
        <w:jc w:val="left"/>
      </w:pPr>
      <w:r>
        <w:rPr>
          <w:rFonts w:ascii="仿宋_GB2312" w:hAnsi="仿宋_GB2312" w:cs="仿宋_GB2312" w:eastAsia="仿宋_GB2312"/>
        </w:rPr>
        <w:t>（2）中标（成交）通知书</w:t>
      </w:r>
    </w:p>
    <w:p>
      <w:pPr>
        <w:pStyle w:val="null3"/>
        <w:jc w:val="left"/>
      </w:pPr>
      <w:r>
        <w:rPr>
          <w:rFonts w:ascii="仿宋_GB2312" w:hAnsi="仿宋_GB2312" w:cs="仿宋_GB2312" w:eastAsia="仿宋_GB2312"/>
        </w:rPr>
        <w:t>（3）投标（响应）文件</w:t>
      </w:r>
    </w:p>
    <w:p>
      <w:pPr>
        <w:pStyle w:val="null3"/>
        <w:jc w:val="left"/>
      </w:pPr>
      <w:r>
        <w:rPr>
          <w:rFonts w:ascii="仿宋_GB2312" w:hAnsi="仿宋_GB2312" w:cs="仿宋_GB2312" w:eastAsia="仿宋_GB2312"/>
        </w:rPr>
        <w:t>（4）采购文件</w:t>
      </w:r>
    </w:p>
    <w:p>
      <w:pPr>
        <w:pStyle w:val="null3"/>
        <w:jc w:val="left"/>
      </w:pPr>
      <w:r>
        <w:rPr>
          <w:rFonts w:ascii="仿宋_GB2312" w:hAnsi="仿宋_GB2312" w:cs="仿宋_GB2312" w:eastAsia="仿宋_GB2312"/>
        </w:rPr>
        <w:t>（5）有关技术文件，图纸</w:t>
      </w:r>
    </w:p>
    <w:p>
      <w:pPr>
        <w:pStyle w:val="null3"/>
        <w:jc w:val="left"/>
      </w:pPr>
      <w:r>
        <w:rPr>
          <w:rFonts w:ascii="仿宋_GB2312" w:hAnsi="仿宋_GB2312" w:cs="仿宋_GB2312" w:eastAsia="仿宋_GB2312"/>
        </w:rPr>
        <w:t>（6）国家法律、行政法规和规章制度规定或合同约定的作为合同组成部分的其他文件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十一、其他条款</w:t>
      </w:r>
    </w:p>
    <w:p>
      <w:pPr>
        <w:pStyle w:val="null3"/>
        <w:jc w:val="left"/>
      </w:pPr>
      <w:r>
        <w:rPr>
          <w:rFonts w:ascii="仿宋_GB2312" w:hAnsi="仿宋_GB2312" w:cs="仿宋_GB2312" w:eastAsia="仿宋_GB2312"/>
        </w:rPr>
        <w:t>11.1履约保证金</w:t>
      </w:r>
    </w:p>
    <w:p>
      <w:pPr>
        <w:pStyle w:val="null3"/>
        <w:jc w:val="left"/>
      </w:pPr>
      <w:r>
        <w:rPr>
          <w:rFonts w:ascii="仿宋_GB2312" w:hAnsi="仿宋_GB2312" w:cs="仿宋_GB2312" w:eastAsia="仿宋_GB2312"/>
        </w:rPr>
        <w:t>如果乙方未能按合同约定全面履行义务，甲方有权从履约保证金中取得补偿或赔偿，且不影响甲方要求乙方承担合同约定的超过履约保证金的违约责任的权利。甲方逾期退还履约保证金的，乙方可要求甲方支付违约金，违约金支付比例：XX。</w:t>
      </w:r>
    </w:p>
    <w:p>
      <w:pPr>
        <w:pStyle w:val="null3"/>
        <w:jc w:val="left"/>
      </w:pPr>
      <w:r>
        <w:rPr>
          <w:rFonts w:ascii="仿宋_GB2312" w:hAnsi="仿宋_GB2312" w:cs="仿宋_GB2312" w:eastAsia="仿宋_GB2312"/>
        </w:rPr>
        <w:t>11.2不可抗力事件处理</w:t>
      </w:r>
    </w:p>
    <w:p>
      <w:pPr>
        <w:pStyle w:val="null3"/>
        <w:jc w:val="left"/>
      </w:pPr>
      <w:r>
        <w:rPr>
          <w:rFonts w:ascii="仿宋_GB2312" w:hAnsi="仿宋_GB2312" w:cs="仿宋_GB2312" w:eastAsia="仿宋_GB2312"/>
        </w:rPr>
        <w:t>11.2.1.任何一方对由于不可抗力造成的部分或全部不能履行合同不承担违约责任。但迟延履行后发生不可抗力的，不能免除责任。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11.2.2.遇有不可抗力的一方，应及时将事件情况以书面形式告知另一方，并在事件发生后XX天内及时向另一方提交合同不能履行或部分不能履行或需要延期履行的详细报告，以及证明不可抗力发生及其持续时间的证据。</w:t>
      </w:r>
    </w:p>
    <w:p>
      <w:pPr>
        <w:pStyle w:val="null3"/>
        <w:jc w:val="left"/>
      </w:pPr>
      <w:r>
        <w:rPr>
          <w:rFonts w:ascii="仿宋_GB2312" w:hAnsi="仿宋_GB2312" w:cs="仿宋_GB2312" w:eastAsia="仿宋_GB2312"/>
        </w:rPr>
        <w:t>11.2.3.不可抗力事件延续XX天以上，双方应通过友好协商，确定是否继续履行合同。</w:t>
      </w:r>
    </w:p>
    <w:p>
      <w:pPr>
        <w:pStyle w:val="null3"/>
        <w:jc w:val="left"/>
      </w:pPr>
      <w:r>
        <w:rPr>
          <w:rFonts w:ascii="仿宋_GB2312" w:hAnsi="仿宋_GB2312" w:cs="仿宋_GB2312" w:eastAsia="仿宋_GB2312"/>
        </w:rPr>
        <w:t>11.3权利瑕疵担保</w:t>
      </w:r>
    </w:p>
    <w:p>
      <w:pPr>
        <w:pStyle w:val="null3"/>
        <w:jc w:val="left"/>
      </w:pPr>
      <w:r>
        <w:rPr>
          <w:rFonts w:ascii="仿宋_GB2312" w:hAnsi="仿宋_GB2312" w:cs="仿宋_GB2312" w:eastAsia="仿宋_GB2312"/>
        </w:rPr>
        <w:t>乙方保证对其出售的货物享有合法的权利。乙方保证在交付的货物上不存在抵押权等担保物权。如甲方使用上述货物构成对第三人侵权的，则由乙方承担全部责任。</w:t>
      </w:r>
    </w:p>
    <w:p>
      <w:pPr>
        <w:pStyle w:val="null3"/>
        <w:jc w:val="left"/>
      </w:pPr>
      <w:r>
        <w:rPr>
          <w:rFonts w:ascii="仿宋_GB2312" w:hAnsi="仿宋_GB2312" w:cs="仿宋_GB2312" w:eastAsia="仿宋_GB2312"/>
        </w:rPr>
        <w:t>11.4知识产权保护</w:t>
      </w:r>
    </w:p>
    <w:p>
      <w:pPr>
        <w:pStyle w:val="null3"/>
        <w:jc w:val="left"/>
      </w:pPr>
      <w:r>
        <w:rPr>
          <w:rFonts w:ascii="仿宋_GB2312" w:hAnsi="仿宋_GB2312" w:cs="仿宋_GB2312" w:eastAsia="仿宋_GB2312"/>
        </w:rPr>
        <w:t>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pPr>
      <w:r>
        <w:rPr>
          <w:rFonts w:ascii="仿宋_GB2312" w:hAnsi="仿宋_GB2312" w:cs="仿宋_GB2312" w:eastAsia="仿宋_GB2312"/>
        </w:rPr>
        <w:t>11.5保密义务</w:t>
      </w:r>
    </w:p>
    <w:p>
      <w:pPr>
        <w:pStyle w:val="null3"/>
        <w:jc w:val="left"/>
      </w:pPr>
      <w:r>
        <w:rPr>
          <w:rFonts w:ascii="仿宋_GB2312" w:hAnsi="仿宋_GB2312" w:cs="仿宋_GB2312" w:eastAsia="仿宋_GB2312"/>
        </w:rPr>
        <w:t>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w:t>
      </w:r>
    </w:p>
    <w:p>
      <w:pPr>
        <w:pStyle w:val="null3"/>
        <w:jc w:val="left"/>
      </w:pPr>
      <w:r>
        <w:rPr>
          <w:rFonts w:ascii="仿宋_GB2312" w:hAnsi="仿宋_GB2312" w:cs="仿宋_GB2312" w:eastAsia="仿宋_GB2312"/>
        </w:rPr>
        <w:t>11.6售后服务</w:t>
      </w:r>
    </w:p>
    <w:p>
      <w:pPr>
        <w:pStyle w:val="null3"/>
        <w:jc w:val="left"/>
      </w:pPr>
      <w:r>
        <w:rPr>
          <w:rFonts w:ascii="仿宋_GB2312" w:hAnsi="仿宋_GB2312" w:cs="仿宋_GB2312" w:eastAsia="仿宋_GB2312"/>
        </w:rPr>
        <w:t>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（3）在XX期限内对所有的货物实施运行监督、维修，但前提条件是该服务并不能免除乙方在质量保证期内所承担的义务；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（5）依照法律、行政法规的规定或者因XX原因，货物在有效使用年限届满后应予回收的，乙方负有自行或者委托第三人对货物予以回收的义务；</w:t>
      </w:r>
    </w:p>
    <w:p>
      <w:pPr>
        <w:pStyle w:val="null3"/>
        <w:jc w:val="left"/>
      </w:pPr>
      <w:r>
        <w:rPr>
          <w:rFonts w:ascii="仿宋_GB2312" w:hAnsi="仿宋_GB2312" w:cs="仿宋_GB2312" w:eastAsia="仿宋_GB2312"/>
        </w:rPr>
        <w:t>乙方提供的售后服务的费用已包含在合同价款中，甲方不再另行支付。</w:t>
      </w:r>
    </w:p>
    <w:p>
      <w:pPr>
        <w:pStyle w:val="null3"/>
        <w:jc w:val="left"/>
      </w:pPr>
      <w:r>
        <w:rPr>
          <w:rFonts w:ascii="仿宋_GB2312" w:hAnsi="仿宋_GB2312" w:cs="仿宋_GB2312" w:eastAsia="仿宋_GB2312"/>
        </w:rPr>
        <w:t>11.7合同变更、中止与终止</w:t>
      </w:r>
    </w:p>
    <w:p>
      <w:pPr>
        <w:pStyle w:val="null3"/>
        <w:jc w:val="left"/>
      </w:pPr>
      <w:r>
        <w:rPr>
          <w:rFonts w:ascii="仿宋_GB2312" w:hAnsi="仿宋_GB2312" w:cs="仿宋_GB2312" w:eastAsia="仿宋_GB2312"/>
        </w:rPr>
        <w:t>11.7.1.合同的变更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11.7.2.合同的中止</w:t>
      </w:r>
    </w:p>
    <w:p>
      <w:pPr>
        <w:pStyle w:val="null3"/>
        <w:jc w:val="left"/>
      </w:pPr>
      <w:r>
        <w:rPr>
          <w:rFonts w:ascii="仿宋_GB2312" w:hAnsi="仿宋_GB2312" w:cs="仿宋_GB2312" w:eastAsia="仿宋_GB2312"/>
        </w:rPr>
        <w:t>11.7.2.1合同履行过程中因供应商就采购文件、采购过程或结果提起投诉的，甲方认为有必要的，可以中止合同的履行。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11.7.2.2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11.7.2.3乙方分立、合并或者变更住所的，应当及时以书面形式告知甲方。乙方没有及时告知甲方，致使合同履行发生困难的，甲方可以中止合同履行并要求乙方承担由此给甲方造成的损失。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11.7.2.4甲方不得以行政区划调整、政府换届、机构或者职能调整以及相关责任人更替为由中止合同。</w:t>
      </w:r>
    </w:p>
    <w:p>
      <w:pPr>
        <w:pStyle w:val="null3"/>
        <w:jc w:val="left"/>
      </w:pPr>
      <w:r>
        <w:rPr>
          <w:rFonts w:ascii="仿宋_GB2312" w:hAnsi="仿宋_GB2312" w:cs="仿宋_GB2312" w:eastAsia="仿宋_GB2312"/>
        </w:rPr>
        <w:t>11.7.3.合同的终止</w:t>
      </w:r>
    </w:p>
    <w:p>
      <w:pPr>
        <w:pStyle w:val="null3"/>
        <w:jc w:val="left"/>
      </w:pPr>
      <w:r>
        <w:rPr>
          <w:rFonts w:ascii="仿宋_GB2312" w:hAnsi="仿宋_GB2312" w:cs="仿宋_GB2312" w:eastAsia="仿宋_GB2312"/>
        </w:rPr>
        <w:t>11.7.3.1合同因有效期限届满而终止；</w:t>
      </w:r>
    </w:p>
    <w:p>
      <w:pPr>
        <w:pStyle w:val="null3"/>
        <w:jc w:val="left"/>
      </w:pPr>
      <w:r>
        <w:rPr>
          <w:rFonts w:ascii="仿宋_GB2312" w:hAnsi="仿宋_GB2312" w:cs="仿宋_GB2312" w:eastAsia="仿宋_GB2312"/>
        </w:rPr>
        <w:t>11.7.3.2乙方未按合同约定履行，构成根本性违约的，甲方有权终止合同，并追究乙方的违约责任。</w:t>
      </w:r>
    </w:p>
    <w:p>
      <w:pPr>
        <w:pStyle w:val="null3"/>
        <w:jc w:val="left"/>
      </w:pPr>
      <w:r>
        <w:rPr>
          <w:rFonts w:ascii="仿宋_GB2312" w:hAnsi="仿宋_GB2312" w:cs="仿宋_GB2312" w:eastAsia="仿宋_GB2312"/>
        </w:rPr>
        <w:t>11.7.4.涉及国家利益、社会公共利益的情形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pPr>
      <w:r>
        <w:rPr>
          <w:rFonts w:ascii="仿宋_GB2312" w:hAnsi="仿宋_GB2312" w:cs="仿宋_GB2312" w:eastAsia="仿宋_GB2312"/>
        </w:rPr>
        <w:t>11.8.合同分包</w:t>
      </w:r>
    </w:p>
    <w:p>
      <w:pPr>
        <w:pStyle w:val="null3"/>
        <w:jc w:val="left"/>
      </w:pPr>
      <w:r>
        <w:rPr>
          <w:rFonts w:ascii="仿宋_GB2312" w:hAnsi="仿宋_GB2312" w:cs="仿宋_GB2312" w:eastAsia="仿宋_GB2312"/>
        </w:rPr>
        <w:t>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乙方执行政府采购政策向中小企业依法分包的，乙方应当按采购文件和投标（响应）文件签订分包意向协议，分包意向协议属于本合同组成部分。</w:t>
      </w:r>
    </w:p>
    <w:p>
      <w:pPr>
        <w:pStyle w:val="null3"/>
        <w:jc w:val="left"/>
      </w:pPr>
      <w:r>
        <w:rPr>
          <w:rFonts w:ascii="仿宋_GB2312" w:hAnsi="仿宋_GB2312" w:cs="仿宋_GB2312" w:eastAsia="仿宋_GB2312"/>
        </w:rPr>
        <w:t>11.9法律适用</w:t>
      </w:r>
    </w:p>
    <w:p>
      <w:pPr>
        <w:pStyle w:val="null3"/>
        <w:jc w:val="left"/>
      </w:pPr>
      <w:r>
        <w:rPr>
          <w:rFonts w:ascii="仿宋_GB2312" w:hAnsi="仿宋_GB2312" w:cs="仿宋_GB2312" w:eastAsia="仿宋_GB2312"/>
        </w:rPr>
        <w:t>本合同的订立、生效、解释、履行及与本合同有关的争议解决，均适用法律、行政法规。</w:t>
      </w:r>
    </w:p>
    <w:p>
      <w:pPr>
        <w:pStyle w:val="null3"/>
        <w:jc w:val="left"/>
      </w:pPr>
      <w:r>
        <w:rPr>
          <w:rFonts w:ascii="仿宋_GB2312" w:hAnsi="仿宋_GB2312" w:cs="仿宋_GB2312" w:eastAsia="仿宋_GB2312"/>
        </w:rPr>
        <w:t>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十二、合同生效及其他</w:t>
      </w:r>
    </w:p>
    <w:p>
      <w:pPr>
        <w:pStyle w:val="null3"/>
        <w:jc w:val="left"/>
      </w:pPr>
      <w:r>
        <w:rPr>
          <w:rFonts w:ascii="仿宋_GB2312" w:hAnsi="仿宋_GB2312" w:cs="仿宋_GB2312" w:eastAsia="仿宋_GB2312"/>
        </w:rPr>
        <w:t>12.1.合同经双方法定代表人（或主要负责人）或授权委托代理人签字并加盖公章后生效。</w:t>
      </w:r>
    </w:p>
    <w:p>
      <w:pPr>
        <w:pStyle w:val="null3"/>
        <w:jc w:val="left"/>
      </w:pPr>
      <w:r>
        <w:rPr>
          <w:rFonts w:ascii="仿宋_GB2312" w:hAnsi="仿宋_GB2312" w:cs="仿宋_GB2312" w:eastAsia="仿宋_GB2312"/>
        </w:rPr>
        <w:t>12.2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12.3.本合同一式XX份，自双方签章之日起生效。甲方持有XX份，乙方持有XX份，项目同级财政部门备案XX份，均具有同等法律效力。</w:t>
      </w:r>
      <w:r>
        <w:br/>
      </w:r>
      <w:r>
        <w:br/>
      </w:r>
      <w:r>
        <w:br/>
      </w:r>
    </w:p>
    <w:tbl>
      <w:tblPr>
        <w:tblW w:w="0" w:type="auto"/>
        <w:tblBorders>
          <w:top w:val="single"/>
          <w:left w:val="single"/>
          <w:bottom w:val="single"/>
          <w:right w:val="single"/>
          <w:insideH w:val="single"/>
          <w:insideV w:val="single"/>
        </w:tblBorders>
      </w:tblPr>
      <w:tblGrid>
        <w:gridCol w:w="8306"/>
        <w:gridCol w:w="0"/>
      </w:tblGrid>
      <w:tr>
        <w:tc>
          <w:tcPr>
            <w:tcW w:type="dxa" w:w="8306"/>
            <w:gridSpan w:val="2"/>
          </w:tcPr>
          <w:p>
            <w:pPr>
              <w:pStyle w:val="null3"/>
              <w:jc w:val="center"/>
            </w:pPr>
            <w:r>
              <w:rPr>
                <w:rFonts w:ascii="仿宋_GB2312" w:hAnsi="仿宋_GB2312" w:cs="仿宋_GB2312" w:eastAsia="仿宋_GB2312"/>
              </w:rPr>
              <w:t>甲方</w:t>
            </w:r>
          </w:p>
        </w:tc>
      </w:tr>
      <w:tr>
        <w:tc>
          <w:tcPr>
            <w:tcW w:type="dxa" w:w="8306"/>
          </w:tcPr>
          <w:p>
            <w:pPr>
              <w:pStyle w:val="null3"/>
              <w:jc w:val="center"/>
            </w:pPr>
            <w:r>
              <w:rPr>
                <w:rFonts w:ascii="仿宋_GB2312" w:hAnsi="仿宋_GB2312" w:cs="仿宋_GB2312" w:eastAsia="仿宋_GB2312"/>
              </w:rPr>
              <w:t>单位名称</w:t>
            </w:r>
          </w:p>
        </w:tc>
        <w:tc>
          <w:tcPr>
            <w:tcW w:type="dxa" w:w="0"/>
          </w:tcPr>
          <w:p>
            <w:pPr>
              <w:pStyle w:val="null3"/>
              <w:jc w:val="left"/>
            </w:pPr>
            <w:r>
              <w:rPr>
                <w:rFonts w:ascii="仿宋_GB2312" w:hAnsi="仿宋_GB2312" w:cs="仿宋_GB2312" w:eastAsia="仿宋_GB2312"/>
              </w:rPr>
              <w:t>（盖章）</w:t>
            </w:r>
          </w:p>
        </w:tc>
      </w:tr>
      <w:tr>
        <w:tc>
          <w:tcPr>
            <w:tcW w:type="dxa" w:w="8306"/>
          </w:tcPr>
          <w:p>
            <w:pPr>
              <w:pStyle w:val="null3"/>
              <w:jc w:val="center"/>
            </w:pPr>
            <w:r>
              <w:rPr>
                <w:rFonts w:ascii="仿宋_GB2312" w:hAnsi="仿宋_GB2312" w:cs="仿宋_GB2312" w:eastAsia="仿宋_GB2312"/>
              </w:rPr>
              <w:t>法定代表人或其委托代理人（签章）</w:t>
            </w:r>
          </w:p>
        </w:tc>
        <w:tc>
          <w:tcPr>
            <w:tcW w:type="dxa" w:w="0"/>
          </w:tcPr>
          <w:p/>
        </w:tc>
      </w:tr>
      <w:tr>
        <w:tc>
          <w:tcPr>
            <w:tcW w:type="dxa" w:w="8306"/>
          </w:tcPr>
          <w:p>
            <w:pPr>
              <w:pStyle w:val="null3"/>
              <w:jc w:val="center"/>
            </w:pPr>
            <w:r>
              <w:rPr>
                <w:rFonts w:ascii="仿宋_GB2312" w:hAnsi="仿宋_GB2312" w:cs="仿宋_GB2312" w:eastAsia="仿宋_GB2312"/>
              </w:rPr>
              <w:t>住 所</w:t>
            </w:r>
          </w:p>
        </w:tc>
        <w:tc>
          <w:tcPr>
            <w:tcW w:type="dxa" w:w="0"/>
          </w:tcPr>
          <w:p/>
        </w:tc>
      </w:tr>
      <w:tr>
        <w:tc>
          <w:tcPr>
            <w:tcW w:type="dxa" w:w="8306"/>
          </w:tcPr>
          <w:p>
            <w:pPr>
              <w:pStyle w:val="null3"/>
              <w:jc w:val="center"/>
            </w:pPr>
            <w:r>
              <w:rPr>
                <w:rFonts w:ascii="仿宋_GB2312" w:hAnsi="仿宋_GB2312" w:cs="仿宋_GB2312" w:eastAsia="仿宋_GB2312"/>
              </w:rPr>
              <w:t>开户银行</w:t>
            </w:r>
          </w:p>
        </w:tc>
        <w:tc>
          <w:tcPr>
            <w:tcW w:type="dxa" w:w="0"/>
          </w:tcPr>
          <w:p/>
        </w:tc>
      </w:tr>
      <w:tr>
        <w:tc>
          <w:tcPr>
            <w:tcW w:type="dxa" w:w="8306"/>
          </w:tcPr>
          <w:p>
            <w:pPr>
              <w:pStyle w:val="null3"/>
              <w:jc w:val="center"/>
            </w:pPr>
            <w:r>
              <w:rPr>
                <w:rFonts w:ascii="仿宋_GB2312" w:hAnsi="仿宋_GB2312" w:cs="仿宋_GB2312" w:eastAsia="仿宋_GB2312"/>
              </w:rPr>
              <w:t>银行账号</w:t>
            </w:r>
          </w:p>
        </w:tc>
        <w:tc>
          <w:tcPr>
            <w:tcW w:type="dxa" w:w="0"/>
          </w:tcPr>
          <w:p/>
        </w:tc>
      </w:tr>
      <w:tr>
        <w:tc>
          <w:tcPr>
            <w:tcW w:type="dxa" w:w="8306"/>
          </w:tcPr>
          <w:p>
            <w:pPr>
              <w:pStyle w:val="null3"/>
              <w:jc w:val="center"/>
            </w:pPr>
            <w:r>
              <w:rPr>
                <w:rFonts w:ascii="仿宋_GB2312" w:hAnsi="仿宋_GB2312" w:cs="仿宋_GB2312" w:eastAsia="仿宋_GB2312"/>
              </w:rPr>
              <w:t>签订时间</w:t>
            </w:r>
          </w:p>
        </w:tc>
        <w:tc>
          <w:tcPr>
            <w:tcW w:type="dxa" w:w="0"/>
          </w:tcPr>
          <w:p/>
        </w:tc>
      </w:tr>
    </w:tbl>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center"/>
            </w:pPr>
            <w:r>
              <w:rPr>
                <w:rFonts w:ascii="仿宋_GB2312" w:hAnsi="仿宋_GB2312" w:cs="仿宋_GB2312" w:eastAsia="仿宋_GB2312"/>
              </w:rPr>
              <w:t>乙方</w:t>
            </w:r>
          </w:p>
        </w:tc>
      </w:tr>
      <w:tr>
        <w:tc>
          <w:tcPr>
            <w:tcW w:type="dxa" w:w="4153"/>
          </w:tcPr>
          <w:p>
            <w:pPr>
              <w:pStyle w:val="null3"/>
              <w:jc w:val="center"/>
            </w:pPr>
            <w:r>
              <w:rPr>
                <w:rFonts w:ascii="仿宋_GB2312" w:hAnsi="仿宋_GB2312" w:cs="仿宋_GB2312" w:eastAsia="仿宋_GB2312"/>
              </w:rPr>
              <w:t>单位名称</w:t>
            </w:r>
          </w:p>
        </w:tc>
        <w:tc>
          <w:tcPr>
            <w:tcW w:type="dxa" w:w="4153"/>
          </w:tcPr>
          <w:p>
            <w:pPr>
              <w:pStyle w:val="null3"/>
              <w:jc w:val="left"/>
            </w:pPr>
            <w:r>
              <w:rPr>
                <w:rFonts w:ascii="仿宋_GB2312" w:hAnsi="仿宋_GB2312" w:cs="仿宋_GB2312" w:eastAsia="仿宋_GB2312"/>
              </w:rPr>
              <w:t>（盖章）</w:t>
            </w:r>
          </w:p>
        </w:tc>
      </w:tr>
      <w:tr>
        <w:tc>
          <w:tcPr>
            <w:tcW w:type="dxa" w:w="4153"/>
          </w:tcPr>
          <w:p>
            <w:pPr>
              <w:pStyle w:val="null3"/>
              <w:jc w:val="center"/>
            </w:pPr>
            <w:r>
              <w:rPr>
                <w:rFonts w:ascii="仿宋_GB2312" w:hAnsi="仿宋_GB2312" w:cs="仿宋_GB2312" w:eastAsia="仿宋_GB2312"/>
              </w:rPr>
              <w:t>法定代表人或其委托代理人（签章）</w:t>
            </w:r>
          </w:p>
        </w:tc>
        <w:tc>
          <w:tcPr>
            <w:tcW w:type="dxa" w:w="4153"/>
          </w:tcPr>
          <w:p/>
        </w:tc>
      </w:tr>
      <w:tr>
        <w:tc>
          <w:tcPr>
            <w:tcW w:type="dxa" w:w="4153"/>
          </w:tcPr>
          <w:p>
            <w:pPr>
              <w:pStyle w:val="null3"/>
              <w:jc w:val="center"/>
            </w:pPr>
            <w:r>
              <w:rPr>
                <w:rFonts w:ascii="仿宋_GB2312" w:hAnsi="仿宋_GB2312" w:cs="仿宋_GB2312" w:eastAsia="仿宋_GB2312"/>
              </w:rPr>
              <w:t>住 所</w:t>
            </w:r>
          </w:p>
        </w:tc>
        <w:tc>
          <w:tcPr>
            <w:tcW w:type="dxa" w:w="4153"/>
          </w:tcPr>
          <w:p/>
        </w:tc>
      </w:tr>
      <w:tr>
        <w:tc>
          <w:tcPr>
            <w:tcW w:type="dxa" w:w="4153"/>
          </w:tcPr>
          <w:p>
            <w:pPr>
              <w:pStyle w:val="null3"/>
              <w:jc w:val="center"/>
            </w:pPr>
            <w:r>
              <w:rPr>
                <w:rFonts w:ascii="仿宋_GB2312" w:hAnsi="仿宋_GB2312" w:cs="仿宋_GB2312" w:eastAsia="仿宋_GB2312"/>
              </w:rPr>
              <w:t>开户银行</w:t>
            </w:r>
          </w:p>
        </w:tc>
        <w:tc>
          <w:tcPr>
            <w:tcW w:type="dxa" w:w="4153"/>
          </w:tcPr>
          <w:p/>
        </w:tc>
      </w:tr>
      <w:tr>
        <w:tc>
          <w:tcPr>
            <w:tcW w:type="dxa" w:w="4153"/>
          </w:tcPr>
          <w:p>
            <w:pPr>
              <w:pStyle w:val="null3"/>
              <w:jc w:val="center"/>
            </w:pPr>
            <w:r>
              <w:rPr>
                <w:rFonts w:ascii="仿宋_GB2312" w:hAnsi="仿宋_GB2312" w:cs="仿宋_GB2312" w:eastAsia="仿宋_GB2312"/>
              </w:rPr>
              <w:t>银行账号</w:t>
            </w:r>
          </w:p>
        </w:tc>
        <w:tc>
          <w:tcPr>
            <w:tcW w:type="dxa" w:w="4153"/>
          </w:tcPr>
          <w:p/>
        </w:tc>
      </w:tr>
      <w:tr>
        <w:tc>
          <w:tcPr>
            <w:tcW w:type="dxa" w:w="4153"/>
          </w:tcPr>
          <w:p>
            <w:pPr>
              <w:pStyle w:val="null3"/>
              <w:jc w:val="center"/>
            </w:pPr>
            <w:r>
              <w:rPr>
                <w:rFonts w:ascii="仿宋_GB2312" w:hAnsi="仿宋_GB2312" w:cs="仿宋_GB2312" w:eastAsia="仿宋_GB2312"/>
              </w:rPr>
              <w:t>签订时间</w:t>
            </w:r>
          </w:p>
        </w:tc>
        <w:tc>
          <w:tcPr>
            <w:tcW w:type="dxa" w:w="4153"/>
          </w:tcPr>
          <w:p/>
        </w:tc>
      </w:tr>
    </w:tbl>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